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113" w:after="113"/>
        <w:jc w:val="center"/>
        <w:rPr/>
      </w:pPr>
      <w:r>
        <w:drawing>
          <wp:anchor behindDoc="0" distT="0" distB="0" distL="114935" distR="114935" simplePos="0" locked="0" layoutInCell="0" allowOverlap="1" relativeHeight="2">
            <wp:simplePos x="0" y="0"/>
            <wp:positionH relativeFrom="column">
              <wp:posOffset>-158115</wp:posOffset>
            </wp:positionH>
            <wp:positionV relativeFrom="paragraph">
              <wp:posOffset>-756920</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2"/>
                    <a:srcRect l="-1705" t="-1898" r="-1705" b="-1898"/>
                    <a:stretch>
                      <a:fillRect/>
                    </a:stretch>
                  </pic:blipFill>
                  <pic:spPr bwMode="auto">
                    <a:xfrm>
                      <a:off x="0" y="0"/>
                      <a:ext cx="618490" cy="513715"/>
                    </a:xfrm>
                    <a:prstGeom prst="rect">
                      <a:avLst/>
                    </a:prstGeom>
                  </pic:spPr>
                </pic:pic>
              </a:graphicData>
            </a:graphic>
          </wp:anchor>
        </w:drawing>
      </w:r>
      <w:r>
        <w:rPr>
          <w:rFonts w:cs="Arial" w:ascii="Verdana" w:hAnsi="Verdana"/>
          <w:b/>
          <w:bCs/>
          <w:smallCaps/>
          <w:color w:val="000000"/>
          <w:sz w:val="28"/>
          <w:szCs w:val="28"/>
        </w:rPr>
        <w:t xml:space="preserve">EDITAL </w:t>
      </w:r>
    </w:p>
    <w:p>
      <w:pPr>
        <w:pStyle w:val="Normal"/>
        <w:spacing w:lineRule="auto" w:line="276" w:before="113" w:after="113"/>
        <w:jc w:val="center"/>
        <w:rPr/>
      </w:pPr>
      <w:r>
        <w:rPr>
          <w:rFonts w:cs="Arial" w:ascii="Verdana" w:hAnsi="Verdana"/>
          <w:b/>
          <w:bCs/>
          <w:smallCaps/>
          <w:color w:val="000000"/>
        </w:rPr>
        <w:t>PREGÃO ELETRÔNICO Nº 079/2023</w:t>
      </w:r>
    </w:p>
    <w:p>
      <w:pPr>
        <w:pStyle w:val="Normal"/>
        <w:spacing w:lineRule="auto" w:line="276" w:before="113" w:after="113"/>
        <w:jc w:val="center"/>
        <w:rPr/>
      </w:pPr>
      <w:r>
        <w:rPr>
          <w:rFonts w:cs="Arial" w:ascii="Verdana" w:hAnsi="Verdana"/>
          <w:bCs/>
          <w:smallCaps/>
          <w:color w:val="000000"/>
        </w:rPr>
        <w:t>(Processo Administrativo n° 4918/2023 de 07/07/2023)</w:t>
      </w:r>
    </w:p>
    <w:p>
      <w:pPr>
        <w:pStyle w:val="Corpodotexto"/>
        <w:spacing w:lineRule="auto" w:line="276" w:before="280" w:after="280"/>
        <w:jc w:val="both"/>
        <w:rPr>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xml:space="preserve">, São Gabriel da Palha-ES, torna público que realizará procedimento de licitação na modalidade Pregão Eletrônico, por meio do critério de julgamento menor preço, com amparo na Lei nº 10.520/2002, Lei Complementar nº 123/2006, Lei Complementar Estadual nº 618/2012 e Decreto Federal nº 10.024/2019, aplicando-se subsidiariamente a Lei nº 8.666/1993, por meio do Pregoeiro e Equipe de Apoio designados pela Portaria nº </w:t>
      </w:r>
      <w:r>
        <w:rPr>
          <w:rFonts w:eastAsia="Arial" w:cs="Verdana" w:ascii="Verdana" w:hAnsi="Verdana"/>
          <w:kern w:val="2"/>
          <w:sz w:val="20"/>
          <w:szCs w:val="20"/>
          <w:lang w:eastAsia="en-US"/>
        </w:rPr>
        <w:t>5.592</w:t>
      </w:r>
      <w:r>
        <w:rPr>
          <w:rFonts w:eastAsia="Arial" w:cs="Verdana" w:ascii="Verdana" w:hAnsi="Verdana"/>
          <w:color w:val="000000"/>
          <w:sz w:val="20"/>
          <w:szCs w:val="20"/>
          <w:lang w:eastAsia="en-US"/>
        </w:rPr>
        <w:t>/2021.</w:t>
      </w:r>
    </w:p>
    <w:p>
      <w:pPr>
        <w:pStyle w:val="Normal"/>
        <w:spacing w:lineRule="auto" w:line="276" w:before="113" w:after="113"/>
        <w:jc w:val="both"/>
        <w:rPr/>
      </w:pPr>
      <w:r>
        <w:rPr>
          <w:rFonts w:cs="Arial" w:ascii="Verdana" w:hAnsi="Verdana"/>
          <w:b/>
          <w:bCs/>
          <w:color w:val="000000"/>
          <w:sz w:val="20"/>
          <w:szCs w:val="20"/>
        </w:rPr>
        <w:t xml:space="preserve">Data da sessão: </w:t>
      </w:r>
      <w:r>
        <w:rPr>
          <w:rFonts w:cs="Arial" w:ascii="Verdana" w:hAnsi="Verdana"/>
          <w:b/>
          <w:bCs/>
          <w:color w:val="000000"/>
          <w:sz w:val="20"/>
          <w:szCs w:val="20"/>
        </w:rPr>
        <w:t>08/11</w:t>
      </w:r>
      <w:r>
        <w:rPr>
          <w:rFonts w:cs="Arial" w:ascii="Verdana" w:hAnsi="Verdana"/>
          <w:b/>
          <w:bCs/>
          <w:color w:val="000000"/>
          <w:sz w:val="20"/>
          <w:szCs w:val="20"/>
        </w:rPr>
        <w:t>/2023</w:t>
      </w:r>
    </w:p>
    <w:p>
      <w:pPr>
        <w:pStyle w:val="Normal"/>
        <w:spacing w:lineRule="auto" w:line="276" w:before="113" w:after="113"/>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u w:val="none"/>
        </w:rPr>
        <w:t>h</w:t>
      </w:r>
      <w:r>
        <w:rPr>
          <w:rFonts w:cs="Arial" w:ascii="Verdana" w:hAnsi="Verdana"/>
          <w:b/>
          <w:bCs/>
          <w:color w:val="000000"/>
          <w:sz w:val="20"/>
          <w:szCs w:val="20"/>
          <w:u w:val="none"/>
        </w:rPr>
        <w:t>00</w:t>
      </w:r>
      <w:r>
        <w:rPr>
          <w:rFonts w:cs="Arial" w:ascii="Verdana" w:hAnsi="Verdana"/>
          <w:b/>
          <w:bCs/>
          <w:color w:val="000000"/>
          <w:sz w:val="20"/>
          <w:szCs w:val="20"/>
          <w:u w:val="none"/>
        </w:rPr>
        <w:t>min</w:t>
      </w:r>
    </w:p>
    <w:p>
      <w:pPr>
        <w:pStyle w:val="Default"/>
        <w:spacing w:lineRule="auto" w:line="276" w:before="113" w:after="113"/>
        <w:rPr/>
      </w:pPr>
      <w:r>
        <w:rPr>
          <w:rFonts w:cs="Arial" w:ascii="Verdana" w:hAnsi="Verdana"/>
          <w:b/>
          <w:bCs/>
          <w:sz w:val="20"/>
          <w:szCs w:val="20"/>
        </w:rPr>
        <w:t>Local:</w:t>
      </w:r>
      <w:r>
        <w:rPr>
          <w:rFonts w:cs="Arial" w:ascii="Verdana" w:hAnsi="Verdana"/>
          <w:sz w:val="20"/>
          <w:szCs w:val="20"/>
        </w:rPr>
        <w:t xml:space="preserve"> </w:t>
      </w:r>
      <w:r>
        <w:rPr>
          <w:rFonts w:ascii="Verdana" w:hAnsi="Verdana"/>
          <w:sz w:val="20"/>
          <w:szCs w:val="20"/>
        </w:rPr>
        <w:t xml:space="preserve">Portal de Compras Públicas – </w:t>
      </w:r>
      <w:bookmarkStart w:id="0" w:name="_Hlk123138684"/>
      <w:r>
        <w:rPr>
          <w:rFonts w:ascii="Verdana" w:hAnsi="Verdana"/>
          <w:b/>
          <w:bCs/>
          <w:sz w:val="20"/>
          <w:szCs w:val="20"/>
        </w:rPr>
        <w:t>www.portaldecompraspublicas.com.br</w:t>
      </w:r>
      <w:bookmarkEnd w:id="0"/>
    </w:p>
    <w:p>
      <w:pPr>
        <w:pStyle w:val="Normal"/>
        <w:spacing w:lineRule="auto" w:line="276" w:before="113" w:after="113"/>
        <w:jc w:val="both"/>
        <w:rPr/>
      </w:pPr>
      <w:r>
        <w:rPr>
          <w:rFonts w:cs="Arial" w:ascii="Verdana" w:hAnsi="Verdana"/>
          <w:b/>
          <w:bCs/>
          <w:color w:val="000000"/>
          <w:sz w:val="20"/>
          <w:szCs w:val="20"/>
        </w:rPr>
        <w:t>UASG nº 985693</w:t>
      </w:r>
    </w:p>
    <w:p>
      <w:pPr>
        <w:pStyle w:val="Normal"/>
        <w:spacing w:lineRule="auto" w:line="276"/>
        <w:jc w:val="both"/>
        <w:rPr>
          <w:sz w:val="20"/>
          <w:szCs w:val="20"/>
        </w:rPr>
      </w:pPr>
      <w:r>
        <w:rPr>
          <w:sz w:val="20"/>
          <w:szCs w:val="20"/>
        </w:rPr>
      </w:r>
    </w:p>
    <w:p>
      <w:pPr>
        <w:pStyle w:val="Nivel01"/>
        <w:numPr>
          <w:ilvl w:val="0"/>
          <w:numId w:val="1"/>
        </w:numPr>
        <w:spacing w:lineRule="auto" w:line="276" w:before="227" w:after="113"/>
        <w:ind w:left="0" w:right="0" w:hanging="0"/>
        <w:rPr/>
      </w:pPr>
      <w:r>
        <w:rPr>
          <w:rFonts w:cs="Arial" w:ascii="Verdana" w:hAnsi="Verdana"/>
        </w:rPr>
        <w:t>DO OBJETO</w:t>
      </w:r>
    </w:p>
    <w:p>
      <w:pPr>
        <w:pStyle w:val="ListParagraph"/>
        <w:spacing w:lineRule="auto" w:line="276" w:before="113" w:after="113"/>
        <w:ind w:left="0" w:right="0" w:hanging="0"/>
        <w:contextualSpacing w:val="false"/>
        <w:jc w:val="both"/>
        <w:rPr/>
      </w:pPr>
      <w:r>
        <w:rPr>
          <w:rFonts w:cs="Arial" w:ascii="Verdana" w:hAnsi="Verdana"/>
          <w:color w:val="000000"/>
          <w:sz w:val="20"/>
          <w:szCs w:val="20"/>
        </w:rPr>
        <w:t xml:space="preserve">1.1 O objeto da presente licitação é a </w:t>
      </w:r>
      <w:r>
        <w:rPr>
          <w:rFonts w:eastAsia="Arial" w:cs="Verdana" w:ascii="Verdana" w:hAnsi="Verdana"/>
          <w:color w:val="000000"/>
          <w:sz w:val="20"/>
          <w:szCs w:val="20"/>
          <w:lang w:eastAsia="en-US"/>
        </w:rPr>
        <w:t>Constituição de Registro de Preços para futura e eventual aquisição de materiais de higiene, limpeza/consumo para atender as Escolas da Rede Municipal de Ensino e a Secretaria Municipal de Educação</w:t>
      </w:r>
      <w:r>
        <w:rPr>
          <w:rFonts w:eastAsia="Arial" w:cs="Arial" w:ascii="Verdana" w:hAnsi="Verdana"/>
          <w:color w:val="000000"/>
          <w:sz w:val="20"/>
          <w:szCs w:val="20"/>
          <w:lang w:eastAsia="en-US"/>
        </w:rPr>
        <w:t>.</w:t>
      </w:r>
    </w:p>
    <w:p>
      <w:pPr>
        <w:pStyle w:val="Normal"/>
        <w:spacing w:lineRule="auto" w:line="276" w:before="113" w:after="113"/>
        <w:ind w:left="0" w:right="0" w:hanging="0"/>
        <w:jc w:val="both"/>
        <w:rPr/>
      </w:pPr>
      <w:r>
        <w:rPr>
          <w:rFonts w:cs="Arial" w:ascii="Verdana" w:hAnsi="Verdana"/>
          <w:iCs/>
          <w:color w:val="000000" w:themeColor="text1"/>
          <w:sz w:val="20"/>
          <w:szCs w:val="20"/>
        </w:rPr>
        <w:t>1.2 A descrição detalhada do objeto se fará na forma estabelecida no Anexo I do presente Edital.</w:t>
      </w:r>
      <w:r>
        <w:rPr>
          <w:rFonts w:cs="Arial" w:ascii="Verdana" w:hAnsi="Verdana"/>
          <w:b/>
          <w:iCs/>
          <w:color w:val="000000" w:themeColor="text1"/>
          <w:sz w:val="20"/>
          <w:szCs w:val="20"/>
        </w:rPr>
        <w:t xml:space="preserve"> </w:t>
      </w:r>
    </w:p>
    <w:p>
      <w:pPr>
        <w:pStyle w:val="Normal"/>
        <w:spacing w:lineRule="auto" w:line="276" w:before="113" w:after="113"/>
        <w:ind w:left="0" w:right="0" w:hanging="0"/>
        <w:jc w:val="both"/>
        <w:rPr/>
      </w:pPr>
      <w:r>
        <w:rPr>
          <w:rFonts w:cs="Arial" w:ascii="Verdana" w:hAnsi="Verdana"/>
          <w:iCs/>
          <w:color w:val="000000" w:themeColor="text1"/>
          <w:sz w:val="20"/>
          <w:szCs w:val="20"/>
        </w:rPr>
        <w:t>1.3 O critério de julgamento adotado será o menor preço do item, observadas as exigências contidas neste Edital e seus Anexos quanto às especificações do objeto.</w:t>
      </w:r>
    </w:p>
    <w:p>
      <w:pPr>
        <w:pStyle w:val="Nivel01"/>
        <w:numPr>
          <w:ilvl w:val="0"/>
          <w:numId w:val="1"/>
        </w:numPr>
        <w:spacing w:lineRule="auto" w:line="276" w:before="227" w:after="113"/>
        <w:ind w:left="0" w:right="0" w:hanging="0"/>
        <w:rPr/>
      </w:pPr>
      <w:r>
        <w:rPr>
          <w:rFonts w:cs="Arial" w:ascii="Verdana" w:hAnsi="Verdana"/>
        </w:rPr>
        <w:t xml:space="preserve">DO REGISTRO DE PREÇOS </w:t>
      </w:r>
    </w:p>
    <w:p>
      <w:pPr>
        <w:pStyle w:val="Normal"/>
        <w:spacing w:lineRule="auto" w:line="276" w:before="113" w:after="113"/>
        <w:ind w:left="0" w:right="0" w:hanging="0"/>
        <w:jc w:val="both"/>
        <w:rPr/>
      </w:pPr>
      <w:r>
        <w:rPr>
          <w:rFonts w:cs="Arial" w:ascii="Verdana" w:hAnsi="Verdana"/>
          <w:color w:val="000000"/>
          <w:sz w:val="20"/>
          <w:szCs w:val="20"/>
        </w:rPr>
        <w:t>2.1 As regras referentes aos órgãos gerenciador e participantes, bem como a eventuais adesões são as que constam da minuta de Ata de Registro de Preços.</w:t>
      </w:r>
    </w:p>
    <w:p>
      <w:pPr>
        <w:pStyle w:val="Normal"/>
        <w:spacing w:lineRule="auto" w:line="276" w:before="113" w:after="113"/>
        <w:ind w:left="0" w:right="0" w:hanging="0"/>
        <w:jc w:val="both"/>
        <w:rPr/>
      </w:pPr>
      <w:r>
        <w:rPr>
          <w:rFonts w:cs="Arial" w:ascii="Verdana" w:hAnsi="Verdana"/>
          <w:color w:val="000000"/>
          <w:sz w:val="20"/>
          <w:szCs w:val="20"/>
        </w:rPr>
        <w:t xml:space="preserve">2.2 Tratando-se do Sistema de Registro de Preços a declaração de disponibilidade orçamentária e financeira, nos termos do art. 7º § 2º do Decreto Municipal nº 441/20214, art. 8, inciso IV do Decreto n° 10.024, de 2019, c/c art. 14 e o caput do art. 38 da Lei n° 8.666/93, com a devida indicação orçamentária ficará postergada para o momento da assinatura do contrato ou instrumento equivalente. </w:t>
      </w:r>
    </w:p>
    <w:p>
      <w:pPr>
        <w:pStyle w:val="Nivel01"/>
        <w:numPr>
          <w:ilvl w:val="0"/>
          <w:numId w:val="1"/>
        </w:numPr>
        <w:spacing w:lineRule="auto" w:line="276" w:before="227" w:after="113"/>
        <w:ind w:left="0" w:right="0" w:hanging="0"/>
        <w:rPr/>
      </w:pPr>
      <w:r>
        <w:rPr>
          <w:rFonts w:cs="Arial" w:ascii="Verdana" w:hAnsi="Verdana"/>
        </w:rPr>
        <w:t>DO CREDENCIAMENTO</w:t>
      </w:r>
    </w:p>
    <w:p>
      <w:pPr>
        <w:pStyle w:val="Default"/>
        <w:spacing w:lineRule="auto" w:line="276" w:before="113" w:after="113"/>
        <w:ind w:left="0" w:right="0" w:hanging="0"/>
        <w:jc w:val="both"/>
        <w:rPr/>
      </w:pPr>
      <w:r>
        <w:rPr>
          <w:rFonts w:ascii="Verdana" w:hAnsi="Verdana"/>
          <w:b w:val="false"/>
          <w:bCs w:val="false"/>
          <w:sz w:val="20"/>
          <w:szCs w:val="20"/>
        </w:rPr>
        <w:t xml:space="preserve">3.1 </w:t>
      </w:r>
      <w:r>
        <w:rPr>
          <w:rFonts w:ascii="Verdana" w:hAnsi="Verdana"/>
          <w:sz w:val="20"/>
          <w:szCs w:val="20"/>
        </w:rPr>
        <w:t xml:space="preserve">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113" w:after="113"/>
        <w:ind w:left="0" w:right="0" w:hanging="0"/>
        <w:jc w:val="both"/>
        <w:rPr/>
      </w:pPr>
      <w:r>
        <w:rPr>
          <w:rFonts w:ascii="Verdana" w:hAnsi="Verdana"/>
          <w:b w:val="false"/>
          <w:bCs w:val="false"/>
          <w:sz w:val="20"/>
          <w:szCs w:val="20"/>
        </w:rPr>
        <w:t>3.2</w:t>
      </w:r>
      <w:r>
        <w:rPr>
          <w:rFonts w:ascii="Verdana" w:hAnsi="Verdana"/>
          <w:b/>
          <w:bCs/>
          <w:sz w:val="20"/>
          <w:szCs w:val="20"/>
        </w:rPr>
        <w:t xml:space="preserve"> </w:t>
      </w:r>
      <w:r>
        <w:rPr>
          <w:rFonts w:ascii="Verdana" w:hAnsi="Verdana"/>
          <w:sz w:val="20"/>
          <w:szCs w:val="20"/>
        </w:rPr>
        <w:t xml:space="preserve">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113" w:after="113"/>
        <w:ind w:left="0" w:right="0" w:hanging="0"/>
        <w:jc w:val="both"/>
        <w:rPr/>
      </w:pPr>
      <w:r>
        <w:rPr>
          <w:rFonts w:ascii="Verdana" w:hAnsi="Verdana"/>
          <w:b w:val="false"/>
          <w:bCs w:val="false"/>
          <w:sz w:val="20"/>
          <w:szCs w:val="20"/>
        </w:rPr>
        <w:t xml:space="preserve">3.3 </w:t>
      </w:r>
      <w:r>
        <w:rPr>
          <w:rFonts w:ascii="Verdana" w:hAnsi="Verdana"/>
          <w:sz w:val="20"/>
          <w:szCs w:val="20"/>
        </w:rPr>
        <w:t xml:space="preserve">É de exclusiva responsabilidade do usuário o sigilo da senha, bem como seu uso em qualquer transação efetuada. </w:t>
      </w:r>
    </w:p>
    <w:p>
      <w:pPr>
        <w:pStyle w:val="Default"/>
        <w:spacing w:lineRule="auto" w:line="276" w:before="113" w:after="113"/>
        <w:ind w:left="0" w:right="0" w:hanging="0"/>
        <w:jc w:val="both"/>
        <w:rPr/>
      </w:pPr>
      <w:r>
        <w:rPr>
          <w:rFonts w:ascii="Verdana" w:hAnsi="Verdana"/>
          <w:b w:val="false"/>
          <w:bCs w:val="false"/>
          <w:sz w:val="20"/>
          <w:szCs w:val="20"/>
        </w:rPr>
        <w:t xml:space="preserve">3.4 </w:t>
      </w:r>
      <w:r>
        <w:rPr>
          <w:rFonts w:ascii="Verdana" w:hAnsi="Verdana"/>
          <w:sz w:val="20"/>
          <w:szCs w:val="20"/>
        </w:rPr>
        <w:t xml:space="preserve">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113" w:after="113"/>
        <w:ind w:left="0" w:right="0" w:hanging="0"/>
        <w:jc w:val="both"/>
        <w:rPr/>
      </w:pPr>
      <w:r>
        <w:rPr>
          <w:rFonts w:cs="Arial" w:ascii="Verdana" w:hAnsi="Verdana"/>
          <w:b w:val="false"/>
          <w:bCs w:val="false"/>
          <w:iCs/>
          <w:color w:val="000000"/>
          <w:sz w:val="20"/>
          <w:szCs w:val="20"/>
        </w:rPr>
        <w:t xml:space="preserve">3.5 </w:t>
      </w:r>
      <w:r>
        <w:rPr>
          <w:rFonts w:cs="Arial" w:ascii="Verdana" w:hAnsi="Verdana"/>
          <w:bCs/>
          <w:iCs/>
          <w:color w:val="000000"/>
          <w:sz w:val="20"/>
          <w:szCs w:val="20"/>
        </w:rPr>
        <w:t>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113" w:after="113"/>
        <w:ind w:left="0" w:right="0" w:hanging="0"/>
        <w:jc w:val="both"/>
        <w:rPr/>
      </w:pPr>
      <w:r>
        <w:rPr>
          <w:rFonts w:cs="Arial" w:ascii="Verdana" w:hAnsi="Verdana"/>
          <w:bCs/>
          <w:iCs/>
          <w:color w:val="000000"/>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01"/>
        <w:numPr>
          <w:ilvl w:val="0"/>
          <w:numId w:val="1"/>
        </w:numPr>
        <w:spacing w:lineRule="auto" w:line="276" w:before="227" w:after="113"/>
        <w:ind w:left="0" w:right="0" w:hanging="0"/>
        <w:rPr/>
      </w:pPr>
      <w:r>
        <w:rPr>
          <w:rFonts w:cs="Arial" w:ascii="Verdana" w:hAnsi="Verdana"/>
        </w:rPr>
        <w:t>DA PARTICIPAÇÃO NO PREGÃO.</w:t>
      </w:r>
    </w:p>
    <w:p>
      <w:pPr>
        <w:pStyle w:val="Default"/>
        <w:spacing w:lineRule="auto" w:line="276" w:before="113" w:after="113"/>
        <w:ind w:left="0" w:right="0" w:hanging="0"/>
        <w:jc w:val="both"/>
        <w:rPr/>
      </w:pPr>
      <w:r>
        <w:rPr>
          <w:rFonts w:cs="Arial" w:ascii="Verdana" w:hAnsi="Verdana"/>
          <w:bCs/>
          <w:sz w:val="20"/>
          <w:szCs w:val="20"/>
        </w:rPr>
        <w:t xml:space="preserve">4.1 </w:t>
      </w:r>
      <w:r>
        <w:rPr>
          <w:rFonts w:ascii="Verdana" w:hAnsi="Verdana"/>
          <w:sz w:val="20"/>
          <w:szCs w:val="20"/>
        </w:rPr>
        <w:t xml:space="preserve">Poderão participar deste certame os interessados que atenderem as exigências contidas neste Edital e seus anexos, e que sejam possuidores de chaves de identificação e senha fornecidas para acesso ao sistema provedor. </w:t>
      </w:r>
    </w:p>
    <w:p>
      <w:pPr>
        <w:pStyle w:val="Normal"/>
        <w:spacing w:lineRule="auto" w:line="276" w:before="113" w:after="113"/>
        <w:ind w:left="0" w:right="0" w:hanging="0"/>
        <w:jc w:val="both"/>
        <w:rPr/>
      </w:pPr>
      <w:r>
        <w:rPr>
          <w:rFonts w:cs="Arial" w:ascii="Verdana" w:hAnsi="Verdana"/>
          <w:bCs/>
          <w:iCs/>
          <w:color w:val="000000"/>
          <w:sz w:val="20"/>
          <w:szCs w:val="20"/>
        </w:rPr>
        <w:t>4.2 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 consolidada.</w:t>
      </w:r>
    </w:p>
    <w:p>
      <w:pPr>
        <w:pStyle w:val="Normal"/>
        <w:spacing w:lineRule="auto" w:line="276" w:before="113" w:after="113"/>
        <w:ind w:left="0" w:right="0" w:hanging="0"/>
        <w:jc w:val="both"/>
        <w:rPr/>
      </w:pPr>
      <w:r>
        <w:rPr>
          <w:rFonts w:cs="Arial" w:ascii="Verdana" w:hAnsi="Verdana"/>
          <w:bCs/>
          <w:iCs/>
          <w:color w:val="000000"/>
          <w:sz w:val="20"/>
          <w:szCs w:val="20"/>
        </w:rPr>
        <w:t>4.2.1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76" w:before="113" w:after="113"/>
        <w:ind w:left="0" w:right="0" w:hanging="0"/>
        <w:jc w:val="both"/>
        <w:rPr/>
      </w:pPr>
      <w:r>
        <w:rPr>
          <w:rFonts w:cs="Arial" w:ascii="Verdana" w:hAnsi="Verdana"/>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cs="Arial" w:ascii="Verdana" w:hAnsi="Verdana"/>
          <w:b/>
          <w:sz w:val="20"/>
          <w:szCs w:val="20"/>
        </w:rPr>
        <w:t xml:space="preserve">junto a sua documentação de habilitação, todas as certidões relativas a regularidade fiscal, mesmo que contenham alguma restrição, e ainda, </w:t>
      </w:r>
      <w:r>
        <w:rPr>
          <w:rFonts w:cs="Arial" w:ascii="Verdana" w:hAnsi="Verdana"/>
          <w:b/>
          <w:bCs/>
          <w:sz w:val="20"/>
          <w:szCs w:val="20"/>
        </w:rPr>
        <w:t>a certidão expedida pela Junta Comercial da região sede da empresa,</w:t>
      </w:r>
      <w:r>
        <w:rPr>
          <w:rFonts w:cs="Arial" w:ascii="Verdana" w:hAnsi="Verdana"/>
          <w:sz w:val="20"/>
          <w:szCs w:val="20"/>
        </w:rPr>
        <w:t xml:space="preserve"> demonstrando a situação de enquadramento, emitida a partir do ano de </w:t>
      </w:r>
      <w:r>
        <w:rPr>
          <w:rFonts w:cs="Arial" w:ascii="Verdana" w:hAnsi="Verdana"/>
          <w:b/>
          <w:color w:val="FF0000"/>
          <w:sz w:val="20"/>
          <w:szCs w:val="20"/>
        </w:rPr>
        <w:t xml:space="preserve">2023, </w:t>
      </w:r>
      <w:r>
        <w:rPr>
          <w:rFonts w:cs="Arial" w:ascii="Verdana" w:hAnsi="Verdana"/>
          <w:sz w:val="20"/>
          <w:szCs w:val="20"/>
        </w:rPr>
        <w:t>sob pena de perda do direito de gozo dos referidos benefícios</w:t>
      </w:r>
      <w:r>
        <w:rPr>
          <w:rFonts w:cs="Arial" w:ascii="Verdana" w:hAnsi="Verdana"/>
          <w:bCs/>
          <w:sz w:val="20"/>
          <w:szCs w:val="20"/>
        </w:rPr>
        <w:t>.</w:t>
      </w:r>
    </w:p>
    <w:p>
      <w:pPr>
        <w:pStyle w:val="Normal"/>
        <w:snapToGrid w:val="false"/>
        <w:spacing w:lineRule="auto" w:line="276" w:before="113" w:after="113"/>
        <w:ind w:left="0" w:right="0" w:hanging="0"/>
        <w:jc w:val="both"/>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76" w:before="113" w:after="113"/>
        <w:ind w:left="0" w:right="0" w:hanging="0"/>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76" w:before="113" w:after="113"/>
        <w:ind w:left="0" w:right="0" w:hanging="0"/>
        <w:jc w:val="both"/>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76" w:before="113" w:after="113"/>
        <w:ind w:left="0" w:right="0" w:hanging="0"/>
        <w:jc w:val="both"/>
        <w:rPr/>
      </w:pPr>
      <w:r>
        <w:rPr>
          <w:rFonts w:cs="Arial" w:ascii="Verdana" w:hAnsi="Verdana"/>
          <w:bCs/>
          <w:color w:val="000000"/>
          <w:sz w:val="20"/>
          <w:szCs w:val="20"/>
        </w:rPr>
        <w:t>4.3.2.1 Estrangeiros que não tenham representação legal no Brasil com poderes expressos para receber citação e responder administrativa ou judicialmente;</w:t>
      </w:r>
    </w:p>
    <w:p>
      <w:pPr>
        <w:pStyle w:val="Normal"/>
        <w:tabs>
          <w:tab w:val="clear" w:pos="720"/>
          <w:tab w:val="left" w:pos="1440" w:leader="none"/>
        </w:tabs>
        <w:snapToGrid w:val="false"/>
        <w:spacing w:lineRule="auto" w:line="276" w:before="113" w:after="113"/>
        <w:ind w:left="0" w:right="0" w:hanging="0"/>
        <w:jc w:val="both"/>
        <w:rPr/>
      </w:pPr>
      <w:r>
        <w:rPr>
          <w:rFonts w:eastAsia="Arial Unicode MS" w:cs="Arial" w:ascii="Verdana" w:hAnsi="Verdana"/>
          <w:color w:val="000000"/>
          <w:sz w:val="20"/>
          <w:szCs w:val="20"/>
        </w:rPr>
        <w:t>4.3.2.2 Que se enquadrem nas vedações previstas no artigo 9º da Lei nº 8.666, de 1993;</w:t>
      </w:r>
    </w:p>
    <w:p>
      <w:pPr>
        <w:pStyle w:val="Normal"/>
        <w:tabs>
          <w:tab w:val="clear" w:pos="720"/>
          <w:tab w:val="left" w:pos="1440" w:leader="none"/>
        </w:tabs>
        <w:snapToGrid w:val="false"/>
        <w:spacing w:lineRule="auto" w:line="276" w:before="113" w:after="113"/>
        <w:ind w:left="0" w:right="0" w:hanging="0"/>
        <w:jc w:val="both"/>
        <w:rPr/>
      </w:pPr>
      <w:r>
        <w:rPr>
          <w:rFonts w:cs="Arial" w:ascii="Verdana" w:hAnsi="Verdana"/>
          <w:color w:val="000000"/>
          <w:sz w:val="20"/>
          <w:szCs w:val="20"/>
        </w:rPr>
        <w:t xml:space="preserve">4.3.2.3 Que estejam sob falência, concurso de credores, </w:t>
      </w:r>
      <w:r>
        <w:rPr>
          <w:rFonts w:cs="Arial" w:ascii="Verdana" w:hAnsi="Verdana"/>
          <w:sz w:val="20"/>
          <w:szCs w:val="20"/>
        </w:rPr>
        <w:t xml:space="preserve">concordata ou </w:t>
      </w:r>
      <w:r>
        <w:rPr>
          <w:rFonts w:cs="Arial" w:ascii="Verdana" w:hAnsi="Verdana"/>
          <w:color w:val="000000"/>
          <w:sz w:val="20"/>
          <w:szCs w:val="20"/>
        </w:rPr>
        <w:t>em processo de dissolução ou liquidação;</w:t>
      </w:r>
    </w:p>
    <w:p>
      <w:pPr>
        <w:pStyle w:val="Normal"/>
        <w:tabs>
          <w:tab w:val="clear" w:pos="720"/>
          <w:tab w:val="left" w:pos="1440" w:leader="none"/>
        </w:tabs>
        <w:snapToGrid w:val="false"/>
        <w:spacing w:lineRule="auto" w:line="276" w:before="113" w:after="113"/>
        <w:ind w:left="0" w:right="0" w:hanging="0"/>
        <w:jc w:val="both"/>
        <w:rPr/>
      </w:pPr>
      <w:r>
        <w:rPr>
          <w:rFonts w:cs="Arial" w:ascii="Verdana" w:hAnsi="Verdana"/>
          <w:sz w:val="20"/>
          <w:szCs w:val="20"/>
        </w:rPr>
        <w:t>4.3.2.4 Entidades empresariais que estejam reunidas em consórcio;</w:t>
      </w:r>
    </w:p>
    <w:p>
      <w:pPr>
        <w:pStyle w:val="Normal"/>
        <w:tabs>
          <w:tab w:val="clear" w:pos="720"/>
          <w:tab w:val="left" w:pos="1440" w:leader="none"/>
        </w:tabs>
        <w:snapToGrid w:val="false"/>
        <w:spacing w:lineRule="auto" w:line="276" w:before="113" w:after="113"/>
        <w:ind w:left="0" w:right="0" w:hanging="0"/>
        <w:jc w:val="both"/>
        <w:rPr/>
      </w:pPr>
      <w:r>
        <w:rPr>
          <w:rFonts w:cs="Arial" w:ascii="Verdana" w:hAnsi="Verdana"/>
          <w:b/>
          <w:sz w:val="20"/>
          <w:szCs w:val="20"/>
        </w:rPr>
        <w:t xml:space="preserve">Nota </w:t>
      </w:r>
      <w:r>
        <w:rPr>
          <w:rFonts w:ascii="Verdana" w:hAnsi="Verdana"/>
          <w:b/>
          <w:sz w:val="20"/>
          <w:szCs w:val="20"/>
        </w:rPr>
        <w:t>Explicativa</w:t>
      </w:r>
      <w:r>
        <w:rPr>
          <w:rFonts w:ascii="Verdana" w:hAnsi="Verdana"/>
          <w:sz w:val="20"/>
          <w:szCs w:val="20"/>
        </w:rPr>
        <w:t>: O presente edital não prevê as condições de participação de empresas reunidas em consórcio, vez que a experiência prática demonstra que as licitações que permitem essa participação são aquelas que envolvem serviços de grande vulto e/ou de alta complexidade técnica.</w:t>
      </w:r>
    </w:p>
    <w:p>
      <w:pPr>
        <w:pStyle w:val="Normal"/>
        <w:tabs>
          <w:tab w:val="clear" w:pos="720"/>
          <w:tab w:val="left" w:pos="1440" w:leader="none"/>
        </w:tabs>
        <w:snapToGrid w:val="false"/>
        <w:spacing w:lineRule="auto" w:line="276" w:before="113" w:after="113"/>
        <w:ind w:left="0" w:right="0" w:hanging="0"/>
        <w:jc w:val="both"/>
        <w:rPr/>
      </w:pPr>
      <w:r>
        <w:rPr>
          <w:rFonts w:cs="Arial" w:ascii="Verdana" w:hAnsi="Verdana"/>
          <w:color w:val="000000"/>
          <w:sz w:val="20"/>
          <w:szCs w:val="20"/>
        </w:rPr>
        <w:t>4.3.2.5 Organizações da Sociedade Civil de Interesse Público – OSCIP, atuando nessa condição (Acórdão nº 746/2014-TCU-Plenário).</w:t>
      </w:r>
    </w:p>
    <w:p>
      <w:pPr>
        <w:pStyle w:val="Normal"/>
        <w:snapToGrid w:val="false"/>
        <w:spacing w:lineRule="auto" w:line="276" w:before="113" w:after="113"/>
        <w:ind w:left="0" w:right="0" w:hanging="0"/>
        <w:jc w:val="both"/>
        <w:rPr/>
      </w:pPr>
      <w:r>
        <w:rPr>
          <w:rFonts w:cs="Arial" w:ascii="Verdana" w:hAnsi="Verdana"/>
          <w:color w:val="000000"/>
          <w:sz w:val="20"/>
          <w:szCs w:val="20"/>
        </w:rPr>
        <w:t>4.4 Como condição para participação no Pregão, a licitante assinalará “SIM” ou “NÃO” em campo próprio do sistema eletrônico, relativo às seguintes declarações:</w:t>
      </w:r>
    </w:p>
    <w:p>
      <w:pPr>
        <w:pStyle w:val="Normal"/>
        <w:tabs>
          <w:tab w:val="clear" w:pos="720"/>
          <w:tab w:val="left" w:pos="1440" w:leader="none"/>
        </w:tabs>
        <w:snapToGrid w:val="false"/>
        <w:spacing w:lineRule="auto" w:line="276" w:before="113" w:after="113"/>
        <w:ind w:left="0" w:right="0" w:hanging="0"/>
        <w:jc w:val="both"/>
        <w:rPr/>
      </w:pPr>
      <w:r>
        <w:rPr>
          <w:rFonts w:cs="Arial" w:ascii="Verdana" w:hAnsi="Verdana"/>
          <w:bCs/>
          <w:color w:val="000000"/>
          <w:sz w:val="20"/>
          <w:szCs w:val="20"/>
        </w:rPr>
        <w:t xml:space="preserve">4.4.1 Que cumpre os requisitos estabelecidos no artigo 3° </w:t>
      </w:r>
      <w:r>
        <w:rPr>
          <w:rFonts w:cs="Arial" w:ascii="Verdana" w:hAnsi="Verdana"/>
          <w:color w:val="000000"/>
          <w:sz w:val="20"/>
          <w:szCs w:val="20"/>
        </w:rPr>
        <w:t>da Lei Complementar nº 123, de 2006, estando apta a usufruir do tratamento favorecido estabelecido em seus arts. 42 a 49;</w:t>
      </w:r>
    </w:p>
    <w:p>
      <w:pPr>
        <w:pStyle w:val="Normal"/>
        <w:tabs>
          <w:tab w:val="clear" w:pos="720"/>
          <w:tab w:val="left" w:pos="1440" w:leader="none"/>
        </w:tabs>
        <w:snapToGrid w:val="false"/>
        <w:spacing w:lineRule="auto" w:line="276" w:before="113" w:after="113"/>
        <w:ind w:left="0" w:right="0" w:hanging="0"/>
        <w:jc w:val="both"/>
        <w:rPr/>
      </w:pPr>
      <w:r>
        <w:rPr>
          <w:rFonts w:cs="Arial" w:ascii="Verdana" w:hAnsi="Verdana"/>
          <w:bCs/>
          <w:color w:val="000000"/>
          <w:sz w:val="20"/>
          <w:szCs w:val="20"/>
        </w:rPr>
        <w:t>4.4.2 Que está ciente e concorda com as condições contidas no Edital e seus anexos;</w:t>
      </w:r>
    </w:p>
    <w:p>
      <w:pPr>
        <w:pStyle w:val="ListParagraph"/>
        <w:tabs>
          <w:tab w:val="clear" w:pos="720"/>
          <w:tab w:val="left" w:pos="1440" w:leader="none"/>
        </w:tabs>
        <w:snapToGrid w:val="false"/>
        <w:spacing w:lineRule="auto" w:line="276" w:before="113" w:after="113"/>
        <w:ind w:left="0" w:right="0" w:hanging="0"/>
        <w:contextualSpacing w:val="false"/>
        <w:jc w:val="both"/>
        <w:rPr/>
      </w:pPr>
      <w:r>
        <w:rPr>
          <w:rFonts w:cs="Arial" w:ascii="Verdana" w:hAnsi="Verdana"/>
          <w:color w:val="000000" w:themeColor="text1"/>
          <w:sz w:val="20"/>
          <w:szCs w:val="20"/>
        </w:rPr>
        <w:t xml:space="preserve">4.4.3 Que cumpre os requisitos para a habilitação definidos no Edital e que a </w:t>
      </w:r>
      <w:r>
        <w:rPr>
          <w:rFonts w:cs="Arial" w:ascii="Verdana" w:hAnsi="Verdana"/>
          <w:color w:val="000000"/>
          <w:sz w:val="20"/>
          <w:szCs w:val="20"/>
        </w:rPr>
        <w:t>proposta apresentada está em conformidade com as exigências editalícias;</w:t>
      </w:r>
    </w:p>
    <w:p>
      <w:pPr>
        <w:pStyle w:val="Normal"/>
        <w:tabs>
          <w:tab w:val="clear" w:pos="720"/>
          <w:tab w:val="left" w:pos="1440" w:leader="none"/>
        </w:tabs>
        <w:snapToGrid w:val="false"/>
        <w:spacing w:lineRule="auto" w:line="276" w:before="113" w:after="113"/>
        <w:ind w:left="0" w:right="0" w:hanging="0"/>
        <w:jc w:val="both"/>
        <w:rPr/>
      </w:pPr>
      <w:r>
        <w:rPr>
          <w:rFonts w:cs="Arial" w:ascii="Verdana" w:hAnsi="Verdana"/>
          <w:bCs/>
          <w:color w:val="000000"/>
          <w:sz w:val="20"/>
          <w:szCs w:val="20"/>
        </w:rPr>
        <w:t xml:space="preserve">4.4.4 Que não emprega menor de 18 anos em trabalho noturno, perigoso ou insalubre e não emprega menor de 16 anos, salvo menor, a partir de 14 anos, na condição de aprendiz, nos termos do artigo 7°, XXXIII, da Constituição; </w:t>
      </w:r>
    </w:p>
    <w:p>
      <w:pPr>
        <w:pStyle w:val="Normal"/>
        <w:tabs>
          <w:tab w:val="clear" w:pos="720"/>
          <w:tab w:val="left" w:pos="1440" w:leader="none"/>
        </w:tabs>
        <w:snapToGrid w:val="false"/>
        <w:spacing w:lineRule="auto" w:line="276" w:before="113" w:after="113"/>
        <w:ind w:left="0" w:right="0" w:hanging="0"/>
        <w:jc w:val="both"/>
        <w:rPr/>
      </w:pPr>
      <w:r>
        <w:rPr>
          <w:rFonts w:cs="Arial" w:ascii="Verdana" w:hAnsi="Verdana"/>
          <w:bCs/>
          <w:color w:val="000000"/>
          <w:sz w:val="20"/>
          <w:szCs w:val="20"/>
        </w:rPr>
        <w:t>4.4.5 Que a proposta foi elaborada de forma independente, nos termos da Instrução Normativa SLTI/MP nº 2, de 16 de setembro de 2009.</w:t>
      </w:r>
    </w:p>
    <w:p>
      <w:pPr>
        <w:pStyle w:val="Normal"/>
        <w:tabs>
          <w:tab w:val="clear" w:pos="720"/>
          <w:tab w:val="left" w:pos="1440" w:leader="none"/>
        </w:tabs>
        <w:snapToGrid w:val="false"/>
        <w:spacing w:lineRule="auto" w:line="276" w:before="113" w:after="113"/>
        <w:ind w:left="0" w:right="0" w:hanging="0"/>
        <w:jc w:val="both"/>
        <w:rPr/>
      </w:pPr>
      <w:r>
        <w:rPr>
          <w:rFonts w:cs="Arial" w:ascii="Verdana" w:hAnsi="Verdana"/>
          <w:bCs/>
          <w:color w:val="000000"/>
          <w:sz w:val="20"/>
          <w:szCs w:val="20"/>
        </w:rPr>
        <w:t>4.4.6 Que não possui, em sua cadeia produtiva, empregados executando trabalho degradante ou forçado, observando o disposto nos incisos III e IV do art. 1º e no inciso III do art. 5º da Constituição Federal;</w:t>
      </w:r>
    </w:p>
    <w:p>
      <w:pPr>
        <w:pStyle w:val="Normal"/>
        <w:tabs>
          <w:tab w:val="clear" w:pos="720"/>
          <w:tab w:val="left" w:pos="1440" w:leader="none"/>
        </w:tabs>
        <w:snapToGrid w:val="false"/>
        <w:spacing w:lineRule="auto" w:line="276" w:before="113" w:after="113"/>
        <w:ind w:left="0" w:right="0" w:hanging="0"/>
        <w:jc w:val="both"/>
        <w:rPr/>
      </w:pPr>
      <w:r>
        <w:rPr>
          <w:rFonts w:cs="Arial" w:ascii="Verdana" w:hAnsi="Verdana"/>
          <w:bCs/>
          <w:color w:val="000000"/>
          <w:sz w:val="20"/>
          <w:szCs w:val="20"/>
        </w:rPr>
        <w:t xml:space="preserve">4.4.7 Que o objeto seja adquirido por empresa que comprove cumprimento de reserva de cargos prevista em lei para pessoa com deficiência ou para reabilitado da Previdência Social e que atenda às regras de acessibilidade previstas na legislação, conforme disposto no art. 93 da Lei nº 8.213, de 24 de julho de </w:t>
      </w:r>
      <w:r>
        <w:rPr>
          <w:rFonts w:cs="Arial" w:ascii="Verdana" w:hAnsi="Verdana"/>
          <w:bCs/>
          <w:sz w:val="20"/>
          <w:szCs w:val="20"/>
        </w:rPr>
        <w:t>1991.</w:t>
      </w:r>
    </w:p>
    <w:p>
      <w:pPr>
        <w:pStyle w:val="Normal"/>
        <w:snapToGrid w:val="false"/>
        <w:spacing w:lineRule="auto" w:line="276" w:before="113" w:after="113"/>
        <w:ind w:left="0" w:right="0" w:hanging="0"/>
        <w:jc w:val="both"/>
        <w:rPr/>
      </w:pPr>
      <w:r>
        <w:rPr>
          <w:rFonts w:cs="Arial" w:ascii="Verdana" w:hAnsi="Verdana"/>
          <w:bCs/>
          <w:color w:val="000000"/>
          <w:sz w:val="20"/>
          <w:szCs w:val="20"/>
        </w:rPr>
        <w:t>4.5 A declaração falsa relativa ao cumprimento de qualquer condição sujeitará o licitante às sanções previstas em lei e neste Edital.</w:t>
      </w:r>
    </w:p>
    <w:p>
      <w:pPr>
        <w:pStyle w:val="Nivel01"/>
        <w:numPr>
          <w:ilvl w:val="0"/>
          <w:numId w:val="1"/>
        </w:numPr>
        <w:spacing w:lineRule="auto" w:line="276" w:before="227" w:after="113"/>
        <w:ind w:left="0" w:right="0" w:hanging="0"/>
        <w:rPr/>
      </w:pPr>
      <w:r>
        <w:rPr>
          <w:rFonts w:cs="Arial" w:ascii="Verdana" w:hAnsi="Verdana"/>
        </w:rPr>
        <w:t>DA APRESENTAÇÃO DA PROPOSTA E DOS DOCUMENTOS DE HABILITAÇÃO</w:t>
      </w:r>
    </w:p>
    <w:p>
      <w:pPr>
        <w:pStyle w:val="Normal"/>
        <w:numPr>
          <w:ilvl w:val="1"/>
          <w:numId w:val="2"/>
        </w:numPr>
        <w:tabs>
          <w:tab w:val="clear" w:pos="720"/>
          <w:tab w:val="left" w:pos="450" w:leader="none"/>
          <w:tab w:val="left" w:pos="618" w:leader="none"/>
        </w:tabs>
        <w:spacing w:lineRule="auto" w:line="276" w:before="113" w:after="113"/>
        <w:ind w:left="0" w:right="0" w:hanging="0"/>
        <w:jc w:val="both"/>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
        </w:numPr>
        <w:tabs>
          <w:tab w:val="clear" w:pos="720"/>
          <w:tab w:val="left" w:pos="450" w:leader="none"/>
          <w:tab w:val="left" w:pos="618" w:leader="none"/>
        </w:tabs>
        <w:spacing w:lineRule="auto" w:line="276" w:before="113" w:after="113"/>
        <w:ind w:left="0" w:right="0" w:hanging="0"/>
        <w:jc w:val="both"/>
        <w:rPr/>
      </w:pP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
        </w:numPr>
        <w:tabs>
          <w:tab w:val="clear" w:pos="720"/>
          <w:tab w:val="left" w:pos="450" w:leader="none"/>
          <w:tab w:val="left" w:pos="618" w:leader="none"/>
        </w:tabs>
        <w:spacing w:lineRule="auto" w:line="276" w:before="113" w:after="113"/>
        <w:ind w:left="0" w:right="0" w:hanging="0"/>
        <w:jc w:val="both"/>
        <w:rPr/>
      </w:pPr>
      <w:r>
        <w:rPr>
          <w:rFonts w:cs="Arial" w:ascii="Verdana" w:hAnsi="Verdana"/>
          <w:color w:val="000000" w:themeColor="text1"/>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
        </w:numPr>
        <w:tabs>
          <w:tab w:val="clear" w:pos="720"/>
          <w:tab w:val="left" w:pos="450" w:leader="none"/>
          <w:tab w:val="left" w:pos="618" w:leader="none"/>
        </w:tabs>
        <w:spacing w:lineRule="auto" w:line="276" w:before="113" w:after="113"/>
        <w:ind w:left="0" w:right="0" w:hanging="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
        </w:numPr>
        <w:tabs>
          <w:tab w:val="clear" w:pos="720"/>
          <w:tab w:val="left" w:pos="450" w:leader="none"/>
          <w:tab w:val="left" w:pos="618" w:leader="none"/>
        </w:tabs>
        <w:spacing w:lineRule="auto" w:line="276" w:before="113" w:after="113"/>
        <w:ind w:left="0" w:right="0" w:hanging="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
        </w:numPr>
        <w:tabs>
          <w:tab w:val="clear" w:pos="720"/>
          <w:tab w:val="left" w:pos="450" w:leader="none"/>
          <w:tab w:val="left" w:pos="618" w:leader="none"/>
        </w:tabs>
        <w:spacing w:lineRule="auto" w:line="276" w:before="113" w:after="113"/>
        <w:ind w:left="0" w:right="0" w:hanging="0"/>
        <w:jc w:val="both"/>
        <w:rPr/>
      </w:pPr>
      <w:r>
        <w:rPr>
          <w:rFonts w:cs="Arial" w:ascii="Verdana" w:hAnsi="Verdana"/>
          <w:b/>
          <w:bCs/>
          <w:color w:val="000000"/>
          <w:sz w:val="20"/>
          <w:szCs w:val="20"/>
          <w:u w:val="single"/>
        </w:rPr>
        <w:t>Até a abertura da sessão pública, os licitantes poderão retirar ou substituir a proposta e os documentos de habilitação anteriormente inseridos no sistema;</w:t>
      </w:r>
    </w:p>
    <w:p>
      <w:pPr>
        <w:pStyle w:val="Normal"/>
        <w:numPr>
          <w:ilvl w:val="1"/>
          <w:numId w:val="2"/>
        </w:numPr>
        <w:tabs>
          <w:tab w:val="clear" w:pos="720"/>
          <w:tab w:val="left" w:pos="450" w:leader="none"/>
          <w:tab w:val="left" w:pos="618" w:leader="none"/>
        </w:tabs>
        <w:spacing w:lineRule="auto" w:line="276" w:before="113" w:after="113"/>
        <w:ind w:left="0" w:right="0" w:hanging="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
        </w:numPr>
        <w:tabs>
          <w:tab w:val="clear" w:pos="720"/>
          <w:tab w:val="left" w:pos="450" w:leader="none"/>
          <w:tab w:val="left" w:pos="618" w:leader="none"/>
        </w:tabs>
        <w:spacing w:lineRule="auto" w:line="276" w:before="113" w:after="113"/>
        <w:ind w:left="0" w:right="0" w:hanging="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ivel01"/>
        <w:numPr>
          <w:ilvl w:val="0"/>
          <w:numId w:val="1"/>
        </w:numPr>
        <w:spacing w:lineRule="auto" w:line="276" w:before="227" w:after="113"/>
        <w:ind w:left="0" w:right="0" w:hanging="0"/>
        <w:rPr/>
      </w:pPr>
      <w:r>
        <w:rPr>
          <w:rFonts w:cs="Arial" w:ascii="Verdana" w:hAnsi="Verdana"/>
        </w:rPr>
        <w:t>DO PREENCHIMENTO DA PROPOSTA</w:t>
      </w:r>
    </w:p>
    <w:p>
      <w:pPr>
        <w:pStyle w:val="ListParagraph"/>
        <w:numPr>
          <w:ilvl w:val="1"/>
          <w:numId w:val="1"/>
        </w:numPr>
        <w:tabs>
          <w:tab w:val="clear" w:pos="720"/>
          <w:tab w:val="left" w:pos="570" w:leader="none"/>
        </w:tabs>
        <w:spacing w:lineRule="auto" w:line="276" w:before="113" w:after="113"/>
        <w:ind w:left="0" w:right="0" w:hanging="0"/>
        <w:contextualSpacing w:val="false"/>
        <w:jc w:val="both"/>
        <w:rPr/>
      </w:pPr>
      <w:r>
        <w:rPr>
          <w:rFonts w:ascii="Verdana" w:hAnsi="Verdana"/>
          <w:sz w:val="20"/>
          <w:szCs w:val="20"/>
        </w:rPr>
        <w:t>O licitante deverá enviar sua proposta mediante o preenchimento, no sistema eletrônico, dos seguintes campos:</w:t>
      </w:r>
    </w:p>
    <w:p>
      <w:pPr>
        <w:pStyle w:val="ListParagraph"/>
        <w:numPr>
          <w:ilvl w:val="2"/>
          <w:numId w:val="1"/>
        </w:numPr>
        <w:spacing w:lineRule="auto" w:line="276" w:before="113" w:after="113"/>
        <w:ind w:left="0" w:right="0" w:hanging="0"/>
        <w:contextualSpacing w:val="false"/>
        <w:jc w:val="both"/>
        <w:rPr/>
      </w:pPr>
      <w:r>
        <w:rPr>
          <w:rFonts w:ascii="Verdana" w:hAnsi="Verdana"/>
          <w:sz w:val="20"/>
          <w:szCs w:val="20"/>
        </w:rPr>
        <w:t>Valor unitário e total do item;</w:t>
      </w:r>
    </w:p>
    <w:p>
      <w:pPr>
        <w:pStyle w:val="ListParagraph"/>
        <w:spacing w:lineRule="auto" w:line="276" w:before="113" w:after="113"/>
        <w:ind w:left="0" w:right="0" w:hanging="0"/>
        <w:contextualSpacing w:val="false"/>
        <w:jc w:val="both"/>
        <w:rPr/>
      </w:pPr>
      <w:r>
        <w:rPr>
          <w:rFonts w:cs="Arial" w:ascii="Verdana" w:hAnsi="Verdana"/>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 decimais após a vírgula</w:t>
      </w:r>
      <w:r>
        <w:rPr>
          <w:rFonts w:ascii="Verdana" w:hAnsi="Verdana"/>
          <w:sz w:val="20"/>
          <w:szCs w:val="20"/>
        </w:rPr>
        <w:t>, expressos em moeda nacional.</w:t>
      </w:r>
    </w:p>
    <w:p>
      <w:pPr>
        <w:pStyle w:val="ListParagraph"/>
        <w:numPr>
          <w:ilvl w:val="2"/>
          <w:numId w:val="1"/>
        </w:numPr>
        <w:spacing w:lineRule="auto" w:line="276" w:before="113" w:after="113"/>
        <w:ind w:left="0" w:right="0" w:hanging="0"/>
        <w:contextualSpacing w:val="false"/>
        <w:jc w:val="both"/>
        <w:rPr/>
      </w:pPr>
      <w:r>
        <w:rPr>
          <w:rFonts w:ascii="Verdana" w:hAnsi="Verdana"/>
          <w:sz w:val="20"/>
          <w:szCs w:val="20"/>
        </w:rPr>
        <w:t>Marca;</w:t>
      </w:r>
    </w:p>
    <w:p>
      <w:pPr>
        <w:pStyle w:val="ListParagraph"/>
        <w:numPr>
          <w:ilvl w:val="2"/>
          <w:numId w:val="1"/>
        </w:numPr>
        <w:spacing w:lineRule="auto" w:line="276" w:before="113" w:after="113"/>
        <w:ind w:left="0" w:right="0" w:hanging="0"/>
        <w:contextualSpacing w:val="false"/>
        <w:jc w:val="both"/>
        <w:rPr/>
      </w:pPr>
      <w:r>
        <w:rPr>
          <w:rFonts w:ascii="Verdana" w:hAnsi="Verdana"/>
          <w:sz w:val="20"/>
          <w:szCs w:val="20"/>
        </w:rPr>
        <w:t>Fabricante;</w:t>
      </w:r>
    </w:p>
    <w:p>
      <w:pPr>
        <w:pStyle w:val="ListParagraph"/>
        <w:numPr>
          <w:ilvl w:val="2"/>
          <w:numId w:val="1"/>
        </w:numPr>
        <w:spacing w:lineRule="auto" w:line="276" w:before="113" w:after="113"/>
        <w:ind w:left="0" w:right="0" w:hanging="0"/>
        <w:contextualSpacing w:val="false"/>
        <w:jc w:val="both"/>
        <w:rPr/>
      </w:pPr>
      <w:r>
        <w:rPr>
          <w:rFonts w:cs="Arial" w:ascii="Verdana" w:hAnsi="Verdana"/>
          <w:bCs/>
          <w:iCs/>
          <w:color w:val="000000"/>
          <w:sz w:val="20"/>
          <w:szCs w:val="20"/>
        </w:rPr>
        <w:t>Descrição detalhada do objeto, contendo as informações similares à especificação do Anexo I</w:t>
      </w:r>
      <w:r>
        <w:rPr>
          <w:rFonts w:cs="Arial" w:ascii="Verdana" w:hAnsi="Verdana"/>
          <w:bCs/>
          <w:iCs/>
          <w:color w:val="000000" w:themeColor="text1"/>
          <w:sz w:val="20"/>
          <w:szCs w:val="20"/>
        </w:rPr>
        <w:t>: indicando, no que for aplicável</w:t>
      </w:r>
      <w:r>
        <w:rPr>
          <w:rFonts w:cs="Arial" w:ascii="Verdana" w:hAnsi="Verdana"/>
          <w:iCs/>
          <w:color w:val="000000" w:themeColor="text1"/>
          <w:sz w:val="20"/>
          <w:szCs w:val="20"/>
        </w:rPr>
        <w:t>, o modelo, prazo de validade ou de garantia.</w:t>
      </w:r>
      <w:r>
        <w:rPr>
          <w:rFonts w:cs="Arial" w:ascii="Verdana" w:hAnsi="Verdana"/>
          <w:i/>
          <w:color w:val="000000" w:themeColor="text1"/>
          <w:sz w:val="20"/>
          <w:szCs w:val="20"/>
        </w:rPr>
        <w:t xml:space="preserve"> </w:t>
      </w:r>
    </w:p>
    <w:p>
      <w:pPr>
        <w:pStyle w:val="ListParagraph"/>
        <w:numPr>
          <w:ilvl w:val="1"/>
          <w:numId w:val="1"/>
        </w:numPr>
        <w:spacing w:lineRule="auto" w:line="276" w:before="113" w:after="113"/>
        <w:ind w:left="0" w:right="0" w:hanging="0"/>
        <w:contextualSpacing w:val="false"/>
        <w:jc w:val="both"/>
        <w:rPr/>
      </w:pPr>
      <w:r>
        <w:rPr>
          <w:rFonts w:ascii="Verdana" w:hAnsi="Verdana"/>
          <w:sz w:val="20"/>
          <w:szCs w:val="20"/>
        </w:rPr>
        <w:t>Todas as especificações do objeto contidas na proposta vinculam a Contratada.</w:t>
      </w:r>
    </w:p>
    <w:p>
      <w:pPr>
        <w:pStyle w:val="ListParagraph"/>
        <w:numPr>
          <w:ilvl w:val="1"/>
          <w:numId w:val="1"/>
        </w:numPr>
        <w:tabs>
          <w:tab w:val="clear" w:pos="720"/>
          <w:tab w:val="left" w:pos="555" w:leader="none"/>
        </w:tabs>
        <w:spacing w:lineRule="auto" w:line="276" w:before="113" w:after="113"/>
        <w:ind w:left="0" w:right="0" w:hanging="0"/>
        <w:contextualSpacing w:val="false"/>
        <w:jc w:val="both"/>
        <w:rPr/>
      </w:pPr>
      <w:r>
        <w:rPr>
          <w:rFonts w:ascii="Verdana" w:hAnsi="Verdana"/>
          <w:sz w:val="20"/>
          <w:szCs w:val="20"/>
        </w:rPr>
        <w:t xml:space="preserve"> </w:t>
      </w:r>
      <w:r>
        <w:rPr>
          <w:rFonts w:cs="Arial" w:ascii="Verdana" w:hAnsi="Verdana"/>
          <w:b/>
          <w:sz w:val="20"/>
          <w:szCs w:val="20"/>
        </w:rPr>
        <w:t xml:space="preserve">Existindo divergência entre as descrições dos itens licitados no sistema do Porta de </w:t>
      </w:r>
      <w:r>
        <w:rPr>
          <w:rFonts w:ascii="Verdana" w:hAnsi="Verdana"/>
          <w:b/>
          <w:sz w:val="20"/>
          <w:szCs w:val="20"/>
        </w:rPr>
        <w:t xml:space="preserve">Compras Públicas e no Edital, prevalecerão as descrições contidas no instrumento convocatório. </w:t>
      </w:r>
    </w:p>
    <w:p>
      <w:pPr>
        <w:pStyle w:val="ListParagraph"/>
        <w:numPr>
          <w:ilvl w:val="1"/>
          <w:numId w:val="1"/>
        </w:numPr>
        <w:tabs>
          <w:tab w:val="clear" w:pos="720"/>
          <w:tab w:val="left" w:pos="585" w:leader="none"/>
        </w:tabs>
        <w:spacing w:lineRule="auto" w:line="276" w:before="113" w:after="113"/>
        <w:ind w:left="0" w:right="0" w:hanging="0"/>
        <w:contextualSpacing w:val="false"/>
        <w:jc w:val="both"/>
        <w:rPr/>
      </w:pPr>
      <w:r>
        <w:rPr>
          <w:rFonts w:cs="Arial" w:ascii="Verdana" w:hAnsi="Verdana"/>
          <w:color w:val="000000"/>
          <w:sz w:val="20"/>
          <w:szCs w:val="20"/>
        </w:rPr>
        <w:t xml:space="preserve"> </w:t>
      </w: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ListParagraph"/>
        <w:numPr>
          <w:ilvl w:val="1"/>
          <w:numId w:val="1"/>
        </w:numPr>
        <w:tabs>
          <w:tab w:val="clear" w:pos="720"/>
          <w:tab w:val="left" w:pos="585" w:leader="none"/>
        </w:tabs>
        <w:spacing w:lineRule="auto" w:line="276" w:before="113" w:after="113"/>
        <w:ind w:left="0" w:right="0" w:hanging="0"/>
        <w:contextualSpacing w:val="false"/>
        <w:jc w:val="both"/>
        <w:rPr/>
      </w:pPr>
      <w:r>
        <w:rPr>
          <w:rFonts w:ascii="Verdana" w:hAnsi="Verdana"/>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ListParagraph"/>
        <w:numPr>
          <w:ilvl w:val="1"/>
          <w:numId w:val="1"/>
        </w:numPr>
        <w:tabs>
          <w:tab w:val="clear" w:pos="720"/>
          <w:tab w:val="left" w:pos="570" w:leader="none"/>
        </w:tabs>
        <w:spacing w:lineRule="auto" w:line="276" w:before="113" w:after="113"/>
        <w:ind w:left="0" w:right="0" w:hanging="0"/>
        <w:contextualSpacing w:val="false"/>
        <w:jc w:val="both"/>
        <w:rPr/>
      </w:pPr>
      <w:r>
        <w:rPr>
          <w:rFonts w:cs="Arial" w:ascii="Verdana" w:hAnsi="Verdana"/>
          <w:color w:val="000000"/>
          <w:sz w:val="20"/>
          <w:szCs w:val="20"/>
        </w:rPr>
        <w:t xml:space="preserve">O prazo de validade da proposta não será </w:t>
      </w:r>
      <w:r>
        <w:rPr>
          <w:rFonts w:cs="Arial" w:ascii="Verdana" w:hAnsi="Verdana"/>
          <w:color w:val="000000" w:themeColor="text1"/>
          <w:sz w:val="20"/>
          <w:szCs w:val="20"/>
        </w:rPr>
        <w:t xml:space="preserve">inferior a </w:t>
      </w:r>
      <w:r>
        <w:rPr>
          <w:rFonts w:cs="Arial" w:ascii="Verdana" w:hAnsi="Verdana"/>
          <w:b/>
          <w:bCs/>
          <w:color w:val="000000" w:themeColor="text1"/>
          <w:sz w:val="20"/>
          <w:szCs w:val="20"/>
        </w:rPr>
        <w:t xml:space="preserve">60 </w:t>
      </w:r>
      <w:r>
        <w:rPr>
          <w:rFonts w:cs="Arial" w:ascii="Verdana" w:hAnsi="Verdana"/>
          <w:b/>
          <w:bCs/>
          <w:iCs/>
          <w:color w:val="000000" w:themeColor="text1"/>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1"/>
        </w:numPr>
        <w:tabs>
          <w:tab w:val="clear" w:pos="720"/>
          <w:tab w:val="left" w:pos="555" w:leader="none"/>
        </w:tabs>
        <w:spacing w:lineRule="auto" w:line="276" w:before="113" w:after="113"/>
        <w:ind w:left="0" w:right="0" w:hanging="0"/>
        <w:contextualSpacing w:val="false"/>
        <w:jc w:val="both"/>
        <w:rPr/>
      </w:pPr>
      <w:r>
        <w:rPr>
          <w:rFonts w:ascii="Verdana" w:hAnsi="Verdana"/>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113" w:after="113"/>
        <w:ind w:left="0" w:right="0" w:hanging="0"/>
        <w:contextualSpacing w:val="false"/>
        <w:jc w:val="both"/>
        <w:rPr/>
      </w:pPr>
      <w:r>
        <w:rPr>
          <w:rFonts w:ascii="Verdana" w:hAnsi="Verdana"/>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spacing w:lineRule="auto" w:line="276" w:before="227" w:after="113"/>
        <w:ind w:left="0" w:right="0" w:hanging="0"/>
        <w:rPr/>
      </w:pPr>
      <w:r>
        <w:rPr>
          <w:rFonts w:cs="Arial" w:ascii="Verdana" w:hAnsi="Verdana"/>
          <w:color w:val="auto"/>
        </w:rPr>
        <w:t xml:space="preserve">DA ABERTURA DA SESSÃO, CLASSIFICAÇÃO DAS PROPOSTAS E FORMULAÇÃO DE LANCES </w:t>
      </w:r>
    </w:p>
    <w:p>
      <w:pPr>
        <w:pStyle w:val="ListParagraph"/>
        <w:numPr>
          <w:ilvl w:val="1"/>
          <w:numId w:val="1"/>
        </w:numPr>
        <w:tabs>
          <w:tab w:val="clear" w:pos="720"/>
          <w:tab w:val="left" w:pos="517" w:leader="none"/>
        </w:tabs>
        <w:spacing w:lineRule="auto" w:line="276" w:before="113" w:after="113"/>
        <w:ind w:left="0" w:right="0" w:hanging="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ListParagraph"/>
        <w:numPr>
          <w:ilvl w:val="1"/>
          <w:numId w:val="1"/>
        </w:numPr>
        <w:tabs>
          <w:tab w:val="clear" w:pos="720"/>
          <w:tab w:val="left" w:pos="517" w:leader="none"/>
        </w:tabs>
        <w:spacing w:lineRule="auto" w:line="276" w:before="113" w:after="113"/>
        <w:ind w:left="0" w:right="0" w:hanging="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Anexo II.</w:t>
      </w:r>
    </w:p>
    <w:p>
      <w:pPr>
        <w:pStyle w:val="Normal"/>
        <w:numPr>
          <w:ilvl w:val="2"/>
          <w:numId w:val="1"/>
        </w:numPr>
        <w:tabs>
          <w:tab w:val="clear" w:pos="720"/>
          <w:tab w:val="left" w:pos="683" w:leader="none"/>
        </w:tabs>
        <w:snapToGrid w:val="false"/>
        <w:spacing w:lineRule="auto" w:line="276" w:before="113" w:after="113"/>
        <w:ind w:left="0" w:right="0" w:hanging="0"/>
        <w:jc w:val="both"/>
        <w:rPr/>
      </w:pPr>
      <w:r>
        <w:rPr>
          <w:rFonts w:cs="Arial" w:ascii="Verdana" w:hAnsi="Verdana"/>
          <w:color w:val="000000"/>
          <w:sz w:val="20"/>
          <w:szCs w:val="20"/>
          <w:lang w:eastAsia="en-US"/>
        </w:rPr>
        <w:t>Também será desclassificada a proposta que identifique o licitante.</w:t>
      </w:r>
    </w:p>
    <w:p>
      <w:pPr>
        <w:pStyle w:val="Normal"/>
        <w:numPr>
          <w:ilvl w:val="2"/>
          <w:numId w:val="1"/>
        </w:numPr>
        <w:tabs>
          <w:tab w:val="clear" w:pos="720"/>
          <w:tab w:val="left" w:pos="683" w:leader="none"/>
        </w:tabs>
        <w:snapToGrid w:val="false"/>
        <w:spacing w:lineRule="auto" w:line="276" w:before="113" w:after="113"/>
        <w:ind w:left="0" w:right="0" w:hanging="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1"/>
        </w:numPr>
        <w:tabs>
          <w:tab w:val="clear" w:pos="720"/>
          <w:tab w:val="left" w:pos="683" w:leader="none"/>
        </w:tabs>
        <w:snapToGrid w:val="false"/>
        <w:spacing w:lineRule="auto" w:line="276" w:before="113" w:after="113"/>
        <w:ind w:left="0" w:right="0" w:hanging="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76" w:before="113" w:after="113"/>
        <w:ind w:left="0" w:right="0" w:hanging="0"/>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76" w:before="113" w:after="113"/>
        <w:ind w:left="0" w:right="0" w:hanging="0"/>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lineRule="auto" w:line="276" w:before="113" w:after="113"/>
        <w:ind w:left="0" w:right="0" w:hanging="0"/>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76" w:before="113" w:after="113"/>
        <w:ind w:left="0" w:right="0" w:hanging="0"/>
        <w:jc w:val="both"/>
        <w:rPr/>
      </w:pPr>
      <w:r>
        <w:rPr>
          <w:rFonts w:cs="Arial" w:ascii="Verdana" w:hAnsi="Verdana"/>
          <w:color w:val="000000" w:themeColor="text1"/>
          <w:sz w:val="20"/>
          <w:szCs w:val="20"/>
        </w:rPr>
        <w:t xml:space="preserve">7.5.1 O lance deverá ser ofertado pelo </w:t>
      </w:r>
      <w:r>
        <w:rPr>
          <w:rFonts w:cs="Arial" w:ascii="Verdana" w:hAnsi="Verdana"/>
          <w:b/>
          <w:bCs/>
          <w:color w:val="000000" w:themeColor="text1"/>
          <w:sz w:val="20"/>
          <w:szCs w:val="20"/>
        </w:rPr>
        <w:t>valor unitário do item</w:t>
      </w:r>
      <w:r>
        <w:rPr>
          <w:rFonts w:cs="Arial" w:ascii="Verdana" w:hAnsi="Verdana"/>
          <w:color w:val="000000" w:themeColor="text1"/>
          <w:sz w:val="20"/>
          <w:szCs w:val="20"/>
        </w:rPr>
        <w:t>.</w:t>
      </w:r>
    </w:p>
    <w:p>
      <w:pPr>
        <w:pStyle w:val="ListParagraph"/>
        <w:spacing w:lineRule="auto" w:line="276" w:before="113" w:after="113"/>
        <w:ind w:left="0" w:right="0" w:hanging="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113" w:after="113"/>
        <w:ind w:left="0" w:right="0" w:hanging="0"/>
        <w:contextualSpacing w:val="false"/>
        <w:jc w:val="both"/>
        <w:rPr/>
      </w:pPr>
      <w:r>
        <w:rPr>
          <w:rFonts w:cs="Arial" w:ascii="Verdana" w:hAnsi="Verdana"/>
          <w:sz w:val="20"/>
          <w:szCs w:val="20"/>
        </w:rPr>
        <w:t>7.7 O licitante somente poderá oferecer lance de valor inferior ou percentual de desconto superior ao último por ele ofertado e registrado pelo sistema.</w:t>
      </w:r>
    </w:p>
    <w:p>
      <w:pPr>
        <w:pStyle w:val="ListParagraph"/>
        <w:spacing w:lineRule="auto" w:line="276" w:before="113" w:after="113"/>
        <w:ind w:left="0" w:right="0" w:hanging="0"/>
        <w:contextualSpacing w:val="false"/>
        <w:jc w:val="both"/>
        <w:rPr/>
      </w:pPr>
      <w:r>
        <w:rPr>
          <w:rFonts w:cs="Arial" w:ascii="Verdana" w:hAnsi="Verdana"/>
          <w:color w:val="000000" w:themeColor="text1"/>
          <w:sz w:val="20"/>
          <w:szCs w:val="20"/>
        </w:rPr>
        <w:t xml:space="preserve">7.8 Será adotado para o envio de lances no pregão eletrônico </w:t>
      </w:r>
      <w:r>
        <w:rPr>
          <w:rFonts w:cs="Arial" w:ascii="Verdana" w:hAnsi="Verdana"/>
          <w:b/>
          <w:bCs/>
          <w:color w:val="000000" w:themeColor="text1"/>
          <w:sz w:val="20"/>
          <w:szCs w:val="20"/>
        </w:rPr>
        <w:t>o modo de disputa “aberto”</w:t>
      </w:r>
      <w:r>
        <w:rPr>
          <w:rFonts w:cs="Arial" w:ascii="Verdana" w:hAnsi="Verdana"/>
          <w:color w:val="000000" w:themeColor="text1"/>
          <w:sz w:val="20"/>
          <w:szCs w:val="20"/>
        </w:rPr>
        <w:t>, em que os licitantes apresentarão lances públicos e sucessivos, com prorrogações.</w:t>
      </w:r>
    </w:p>
    <w:p>
      <w:pPr>
        <w:pStyle w:val="ListParagraph"/>
        <w:spacing w:lineRule="auto" w:line="276" w:before="113" w:after="113"/>
        <w:ind w:left="0" w:right="0" w:hanging="0"/>
        <w:contextualSpacing w:val="false"/>
        <w:jc w:val="both"/>
        <w:rPr/>
      </w:pPr>
      <w:r>
        <w:rPr>
          <w:rFonts w:cs="Arial" w:ascii="Verdana" w:hAnsi="Verdana"/>
          <w:color w:val="000000" w:themeColor="text1"/>
          <w:sz w:val="20"/>
          <w:szCs w:val="20"/>
        </w:rPr>
        <w:t>7.9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ListParagraph"/>
        <w:spacing w:lineRule="auto" w:line="276" w:before="113" w:after="113"/>
        <w:ind w:left="0" w:right="0" w:hanging="0"/>
        <w:contextualSpacing w:val="false"/>
        <w:jc w:val="both"/>
        <w:rPr/>
      </w:pPr>
      <w:r>
        <w:rPr>
          <w:rFonts w:cs="Arial" w:ascii="Verdana" w:hAnsi="Verdana"/>
          <w:color w:val="000000" w:themeColor="text1"/>
          <w:sz w:val="20"/>
          <w:szCs w:val="20"/>
        </w:rPr>
        <w:t>7.10. Encerrado o prazo previsto no item anterior, o sistema abrir</w:t>
      </w:r>
      <w:r>
        <w:rPr>
          <w:rFonts w:ascii="Verdana" w:hAnsi="Verdana"/>
          <w:sz w:val="20"/>
          <w:szCs w:val="20"/>
        </w:rPr>
        <w:t>á oportunidade para que o autor da oferta de valor mais baixo e os das ofertas com preços até dez por cento superiores àquela possam ofertar um lance final e fechado em até cinco minutos, o qual será sigiloso até o encerramento deste prazo.</w:t>
      </w:r>
    </w:p>
    <w:p>
      <w:pPr>
        <w:pStyle w:val="Normal"/>
        <w:spacing w:lineRule="auto" w:line="276" w:before="113" w:after="113"/>
        <w:ind w:left="0" w:right="0" w:hanging="0"/>
        <w:jc w:val="both"/>
        <w:rPr/>
      </w:pPr>
      <w:r>
        <w:rPr>
          <w:rFonts w:ascii="Verdana" w:hAnsi="Verdana"/>
          <w:sz w:val="20"/>
          <w:szCs w:val="20"/>
        </w:rPr>
        <w:t>7.10.1.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spacing w:lineRule="auto" w:line="276" w:before="113" w:after="113"/>
        <w:ind w:left="0" w:right="0" w:hanging="0"/>
        <w:jc w:val="both"/>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76" w:before="113" w:after="113"/>
        <w:ind w:left="0" w:right="0" w:hanging="0"/>
        <w:jc w:val="both"/>
        <w:rPr/>
      </w:pPr>
      <w:r>
        <w:rPr>
          <w:rFonts w:ascii="Verdana" w:hAnsi="Verdana"/>
          <w:sz w:val="20"/>
          <w:szCs w:val="20"/>
        </w:rPr>
        <w:t>7.11.1.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pPr>
        <w:pStyle w:val="Normal"/>
        <w:spacing w:lineRule="auto" w:line="276" w:before="113" w:after="113"/>
        <w:ind w:left="0" w:right="0" w:hanging="0"/>
        <w:jc w:val="both"/>
        <w:rPr/>
      </w:pPr>
      <w:r>
        <w:rPr>
          <w:rFonts w:ascii="Verdana" w:hAnsi="Verdana"/>
          <w:sz w:val="20"/>
          <w:szCs w:val="20"/>
        </w:rPr>
        <w:t>7.12. Poderá o(a) Pregoeiro(a), auxiliado pela Equipe de Apoio, justificadamente, admitir o reinício da etapa fechada, caso nenhum licitante classificado na etapa de lance fechado atender às exigências de habilitação.</w:t>
      </w:r>
    </w:p>
    <w:p>
      <w:pPr>
        <w:pStyle w:val="Normal"/>
        <w:spacing w:lineRule="auto" w:line="276" w:before="113" w:after="113"/>
        <w:ind w:left="0" w:right="0" w:hanging="0"/>
        <w:jc w:val="both"/>
        <w:rPr/>
      </w:pPr>
      <w:r>
        <w:rPr>
          <w:rFonts w:cs="Arial" w:ascii="Verdana" w:hAnsi="Verdana"/>
          <w:color w:val="000000" w:themeColor="text1"/>
          <w:sz w:val="20"/>
          <w:szCs w:val="20"/>
        </w:rPr>
        <w:t>7.13 Não serão aceitos dois ou mais lances de mesmo valor, prevalecendo aquele que for recebido e registrado em primeiro lugar.</w:t>
      </w:r>
    </w:p>
    <w:p>
      <w:pPr>
        <w:pStyle w:val="Normal"/>
        <w:spacing w:lineRule="auto" w:line="276" w:before="113" w:after="113"/>
        <w:ind w:left="0" w:right="0" w:hanging="0"/>
        <w:jc w:val="both"/>
        <w:rPr/>
      </w:pPr>
      <w:r>
        <w:rPr>
          <w:rFonts w:cs="Arial" w:ascii="Verdana" w:hAnsi="Verdana"/>
          <w:color w:val="000000" w:themeColor="text1"/>
          <w:sz w:val="20"/>
          <w:szCs w:val="20"/>
        </w:rPr>
        <w:t xml:space="preserve">7.14 Durante o transcurso da sessão pública, os licitantes serão informados, em tempo real, do valor do menor lance registrado, vedada a identificação do licitante. </w:t>
      </w:r>
    </w:p>
    <w:p>
      <w:pPr>
        <w:pStyle w:val="Normal"/>
        <w:spacing w:lineRule="auto" w:line="276" w:before="113" w:after="113"/>
        <w:ind w:left="0" w:right="0" w:hanging="0"/>
        <w:jc w:val="both"/>
        <w:rPr/>
      </w:pPr>
      <w:r>
        <w:rPr>
          <w:rFonts w:cs="Arial" w:ascii="Verdana" w:hAnsi="Verdana"/>
          <w:color w:val="000000" w:themeColor="text1"/>
          <w:sz w:val="20"/>
          <w:szCs w:val="20"/>
        </w:rPr>
        <w:t>7.15 No caso de desconexão com o Pregoeiro, no decorrer da etapa competitiva do Pregão, o sistema eletrônico poderá permanecer acessível aos licitantes para a recepção dos lances.</w:t>
      </w:r>
    </w:p>
    <w:p>
      <w:pPr>
        <w:pStyle w:val="Normal"/>
        <w:spacing w:lineRule="auto" w:line="276" w:before="113" w:after="113"/>
        <w:ind w:left="0" w:right="0" w:hanging="0"/>
        <w:jc w:val="both"/>
        <w:rPr/>
      </w:pPr>
      <w:r>
        <w:rPr>
          <w:rFonts w:cs="Arial" w:ascii="Verdana" w:hAnsi="Verdana"/>
          <w:color w:val="000000" w:themeColor="text1"/>
          <w:sz w:val="20"/>
          <w:szCs w:val="20"/>
        </w:rPr>
        <w:t xml:space="preserve">7.16 Quando a desconexão do sistema eletrônico para o pregoeiro persistir por tempo superior a dez minutos, </w:t>
      </w:r>
      <w:r>
        <w:rPr>
          <w:rFonts w:cs="Arial" w:ascii="Verdana" w:hAnsi="Verdana"/>
          <w:b/>
          <w:bCs/>
          <w:color w:val="000000" w:themeColor="text1"/>
          <w:sz w:val="20"/>
          <w:szCs w:val="20"/>
        </w:rPr>
        <w:t>a sessão pública será suspensa e reiniciada somente após decorridas vinte e quatro horas da comunicação do fato pelo Pregoeiro aos participantes, no sítio eletrônico utilizado para divulgação.</w:t>
      </w:r>
    </w:p>
    <w:p>
      <w:pPr>
        <w:pStyle w:val="Normal"/>
        <w:spacing w:lineRule="auto" w:line="276" w:before="113" w:after="113"/>
        <w:ind w:left="0" w:right="0" w:hanging="0"/>
        <w:jc w:val="both"/>
        <w:rPr/>
      </w:pPr>
      <w:r>
        <w:rPr>
          <w:rFonts w:cs="Arial" w:ascii="Verdana" w:hAnsi="Verdana"/>
          <w:color w:val="000000" w:themeColor="text1"/>
          <w:sz w:val="20"/>
          <w:szCs w:val="20"/>
        </w:rPr>
        <w:t xml:space="preserve">7.17 O Critério de julgamento adotado será </w:t>
      </w:r>
      <w:r>
        <w:rPr>
          <w:rFonts w:cs="Arial" w:ascii="Verdana" w:hAnsi="Verdana"/>
          <w:b/>
          <w:bCs/>
          <w:color w:val="000000" w:themeColor="text1"/>
          <w:sz w:val="20"/>
          <w:szCs w:val="20"/>
        </w:rPr>
        <w:t>o menor preço</w:t>
      </w:r>
      <w:r>
        <w:rPr>
          <w:rFonts w:cs="Arial" w:ascii="Verdana" w:hAnsi="Verdana"/>
          <w:color w:val="000000" w:themeColor="text1"/>
          <w:sz w:val="20"/>
          <w:szCs w:val="20"/>
        </w:rPr>
        <w:t>, conforme definido neste Edital e seus anexos.</w:t>
      </w:r>
    </w:p>
    <w:p>
      <w:pPr>
        <w:pStyle w:val="Normal"/>
        <w:spacing w:lineRule="auto" w:line="276" w:before="113" w:after="113"/>
        <w:ind w:left="0" w:right="0" w:hanging="0"/>
        <w:jc w:val="both"/>
        <w:rPr/>
      </w:pPr>
      <w:r>
        <w:rPr>
          <w:rFonts w:cs="Arial" w:ascii="Verdana" w:hAnsi="Verdana"/>
          <w:color w:val="000000" w:themeColor="text1"/>
          <w:sz w:val="20"/>
          <w:szCs w:val="20"/>
        </w:rPr>
        <w:t>7.18 Caso o licitante não apresente lances, concorrerá com o valor de sua proposta.</w:t>
      </w:r>
    </w:p>
    <w:p>
      <w:pPr>
        <w:pStyle w:val="Normal"/>
        <w:spacing w:lineRule="auto" w:line="276" w:before="113" w:after="113"/>
        <w:ind w:left="0" w:right="0" w:hanging="0"/>
        <w:jc w:val="both"/>
        <w:rPr/>
      </w:pPr>
      <w:r>
        <w:rPr>
          <w:rFonts w:cs="Arial" w:ascii="Verdana" w:hAnsi="Verdana"/>
          <w:color w:val="000000" w:themeColor="text1"/>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113" w:after="113"/>
        <w:ind w:left="0" w:right="0" w:hanging="0"/>
        <w:jc w:val="both"/>
        <w:rPr/>
      </w:pPr>
      <w:r>
        <w:rPr>
          <w:rFonts w:cs="Arial" w:ascii="Verdana" w:hAnsi="Verdana"/>
          <w:color w:val="000000" w:themeColor="text1"/>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113" w:after="113"/>
        <w:ind w:left="0" w:right="0" w:hanging="0"/>
        <w:jc w:val="both"/>
        <w:rPr/>
      </w:pPr>
      <w:r>
        <w:rPr>
          <w:rFonts w:cs="Arial" w:ascii="Verdana" w:hAnsi="Verdana"/>
          <w:color w:val="000000" w:themeColor="text1"/>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113" w:after="113"/>
        <w:ind w:left="0" w:right="0" w:hanging="0"/>
        <w:jc w:val="both"/>
        <w:rPr/>
      </w:pPr>
      <w:r>
        <w:rPr>
          <w:rFonts w:cs="Arial" w:ascii="Verdana" w:hAnsi="Verdana"/>
          <w:color w:val="000000" w:themeColor="text1"/>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113" w:after="113"/>
        <w:ind w:left="0" w:right="0" w:hanging="0"/>
        <w:jc w:val="both"/>
        <w:rPr/>
      </w:pPr>
      <w:r>
        <w:rPr>
          <w:rFonts w:cs="Arial" w:ascii="Verdana" w:hAnsi="Verdana"/>
          <w:color w:val="000000" w:themeColor="text1"/>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113" w:after="113"/>
        <w:ind w:left="0" w:right="0" w:hanging="0"/>
        <w:jc w:val="both"/>
        <w:rPr/>
      </w:pPr>
      <w:r>
        <w:rPr>
          <w:rFonts w:cs="Arial" w:ascii="Verdana" w:hAnsi="Verdana"/>
          <w:color w:val="000000" w:themeColor="text1"/>
          <w:sz w:val="20"/>
          <w:szCs w:val="20"/>
        </w:rPr>
        <w:t>7.24 Só poderá haver empate entre propostas iguais (não seguidas de lances), ou entre lances finais da fase fechada do modo de disputa aberto e fechado.</w:t>
      </w:r>
    </w:p>
    <w:p>
      <w:pPr>
        <w:pStyle w:val="Normal"/>
        <w:spacing w:lineRule="auto" w:line="276" w:before="113" w:after="113"/>
        <w:ind w:left="0" w:right="0" w:hanging="0"/>
        <w:jc w:val="both"/>
        <w:rPr/>
      </w:pPr>
      <w:r>
        <w:rPr>
          <w:rFonts w:cs="Arial" w:ascii="Verdana" w:hAnsi="Verdana"/>
          <w:color w:val="000000" w:themeColor="text1"/>
          <w:sz w:val="20"/>
          <w:szCs w:val="20"/>
        </w:rPr>
        <w:t>7.25 Havendo eventual empate entre propostas ou lances, o critério de desempate será aquele previsto no art. 3º, § 2º, da Lei nº 8.666, de 1993, assegurando-se a preferência, sucessivamente, aos bens produzidos:</w:t>
      </w:r>
    </w:p>
    <w:p>
      <w:pPr>
        <w:pStyle w:val="Normal"/>
        <w:spacing w:lineRule="auto" w:line="276" w:before="113" w:after="113"/>
        <w:ind w:left="0" w:right="0" w:hanging="0"/>
        <w:jc w:val="both"/>
        <w:rPr/>
      </w:pPr>
      <w:r>
        <w:rPr>
          <w:rFonts w:cs="Arial" w:ascii="Verdana" w:hAnsi="Verdana"/>
          <w:color w:val="000000" w:themeColor="text1"/>
          <w:sz w:val="20"/>
          <w:szCs w:val="20"/>
          <w:lang w:eastAsia="en-US"/>
        </w:rPr>
        <w:t xml:space="preserve">7.25.1 </w:t>
      </w:r>
      <w:r>
        <w:rPr>
          <w:rFonts w:cs="Arial" w:ascii="Verdana" w:hAnsi="Verdana"/>
          <w:color w:val="000000"/>
          <w:sz w:val="20"/>
          <w:szCs w:val="20"/>
          <w:lang w:eastAsia="en-US"/>
        </w:rPr>
        <w:t>No país;</w:t>
      </w:r>
    </w:p>
    <w:p>
      <w:pPr>
        <w:pStyle w:val="Normal"/>
        <w:spacing w:lineRule="auto" w:line="276" w:before="113" w:after="113"/>
        <w:ind w:left="0" w:right="0" w:hanging="0"/>
        <w:jc w:val="both"/>
        <w:rPr/>
      </w:pPr>
      <w:r>
        <w:rPr>
          <w:rFonts w:cs="Arial" w:ascii="Verdana" w:hAnsi="Verdana"/>
          <w:color w:val="000000"/>
          <w:sz w:val="20"/>
          <w:szCs w:val="20"/>
          <w:lang w:eastAsia="en-US"/>
        </w:rPr>
        <w:t>7.25.2 Por empresas brasileiras;</w:t>
      </w:r>
    </w:p>
    <w:p>
      <w:pPr>
        <w:pStyle w:val="Normal"/>
        <w:spacing w:lineRule="auto" w:line="276" w:before="113" w:after="113"/>
        <w:ind w:left="0" w:right="0" w:hanging="0"/>
        <w:jc w:val="both"/>
        <w:rPr/>
      </w:pPr>
      <w:r>
        <w:rPr>
          <w:rFonts w:cs="Arial" w:ascii="Verdana" w:hAnsi="Verdana"/>
          <w:color w:val="000000"/>
          <w:sz w:val="20"/>
          <w:szCs w:val="20"/>
          <w:lang w:eastAsia="en-US"/>
        </w:rPr>
        <w:t>7.25.3 Por empresas que invistam em pesquisa e no desenvolvimento de tecnologia no País;</w:t>
      </w:r>
    </w:p>
    <w:p>
      <w:pPr>
        <w:pStyle w:val="Normal"/>
        <w:spacing w:lineRule="auto" w:line="276" w:before="113" w:after="113"/>
        <w:ind w:left="0" w:right="0" w:hanging="0"/>
        <w:jc w:val="both"/>
        <w:rPr/>
      </w:pPr>
      <w:r>
        <w:rPr>
          <w:rFonts w:cs="Arial" w:ascii="Verdana" w:hAnsi="Verdana"/>
          <w:color w:val="000000"/>
          <w:sz w:val="20"/>
          <w:szCs w:val="20"/>
          <w:lang w:eastAsia="en-US"/>
        </w:rPr>
        <w:t>7.25.4 Por empresas que comprovem cumprimento de reserva de cargos prevista em lei para pessoa com deficiência ou para reabilitado da Previdência Social e que atendam às regras de acessibilidade previstas na legislação.</w:t>
      </w:r>
    </w:p>
    <w:p>
      <w:pPr>
        <w:pStyle w:val="Normal"/>
        <w:spacing w:lineRule="auto" w:line="276" w:before="113" w:after="113"/>
        <w:ind w:left="0" w:right="0" w:hanging="0"/>
        <w:jc w:val="both"/>
        <w:rPr/>
      </w:pPr>
      <w:r>
        <w:rPr>
          <w:rFonts w:cs="Arial" w:ascii="Verdana" w:hAnsi="Verdana"/>
          <w:color w:val="000000"/>
          <w:sz w:val="20"/>
          <w:szCs w:val="20"/>
          <w:lang w:eastAsia="en-US"/>
        </w:rPr>
        <w:t xml:space="preserve">7.26 </w:t>
      </w:r>
      <w:r>
        <w:rPr>
          <w:rFonts w:cs="Arial" w:ascii="Verdana" w:hAnsi="Verdana"/>
          <w:color w:val="000000" w:themeColor="text1"/>
          <w:sz w:val="20"/>
          <w:szCs w:val="20"/>
        </w:rPr>
        <w:t xml:space="preserve">Persistindo o empate, a proposta vencedora será sorteada pelo sistema eletrônico dentre as propostas ou os lances empatados. </w:t>
      </w:r>
    </w:p>
    <w:p>
      <w:pPr>
        <w:pStyle w:val="Normal"/>
        <w:spacing w:lineRule="auto" w:line="276" w:before="113" w:after="113"/>
        <w:ind w:left="0" w:right="0" w:hanging="0"/>
        <w:jc w:val="both"/>
        <w:rPr/>
      </w:pPr>
      <w:r>
        <w:rPr>
          <w:rFonts w:cs="Arial" w:ascii="Verdana" w:hAnsi="Verdana"/>
          <w:color w:val="000000" w:themeColor="text1"/>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113" w:after="113"/>
        <w:ind w:left="0" w:right="0" w:hanging="0"/>
        <w:contextualSpacing w:val="false"/>
        <w:jc w:val="both"/>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20"/>
          <w:tab w:val="left" w:pos="-12" w:leader="none"/>
        </w:tabs>
        <w:spacing w:lineRule="auto" w:line="276" w:before="113" w:after="113"/>
        <w:ind w:left="0" w:right="0" w:hanging="0"/>
        <w:contextualSpacing w:val="false"/>
        <w:jc w:val="both"/>
        <w:rPr/>
      </w:pPr>
      <w:r>
        <w:rPr>
          <w:rFonts w:cs="Arial" w:ascii="Verdana" w:hAnsi="Verdana"/>
          <w:color w:val="000000"/>
          <w:sz w:val="20"/>
          <w:szCs w:val="20"/>
        </w:rPr>
        <w:t xml:space="preserve">7.27.2 O pregoeiro solicitará ao licitante </w:t>
      </w:r>
      <w:r>
        <w:rPr>
          <w:rFonts w:cs="Arial" w:ascii="Verdana" w:hAnsi="Verdana"/>
          <w:color w:val="000000" w:themeColor="text1"/>
          <w:sz w:val="20"/>
          <w:szCs w:val="20"/>
        </w:rPr>
        <w:t xml:space="preserve">melhor classificado </w:t>
      </w:r>
      <w:r>
        <w:rPr>
          <w:rFonts w:cs="Arial" w:ascii="Verdana" w:hAnsi="Verdana"/>
          <w:color w:val="000000"/>
          <w:sz w:val="20"/>
          <w:szCs w:val="20"/>
        </w:rPr>
        <w:t xml:space="preserve">que, </w:t>
      </w:r>
      <w:r>
        <w:rPr>
          <w:rFonts w:cs="Arial" w:ascii="Verdana" w:hAnsi="Verdana"/>
          <w:color w:val="000000" w:themeColor="text1"/>
          <w:sz w:val="20"/>
          <w:szCs w:val="20"/>
        </w:rPr>
        <w:t>no prazo de 02 (duas)</w:t>
      </w:r>
      <w:r>
        <w:rPr>
          <w:rFonts w:cs="Arial" w:ascii="Verdana" w:hAnsi="Verdana"/>
          <w:i/>
          <w:iCs/>
          <w:color w:val="000000" w:themeColor="text1"/>
          <w:sz w:val="20"/>
          <w:szCs w:val="20"/>
        </w:rPr>
        <w:t xml:space="preserve"> </w:t>
      </w:r>
      <w:r>
        <w:rPr>
          <w:rFonts w:cs="Arial" w:ascii="Verdana" w:hAnsi="Verdana"/>
          <w:color w:val="000000" w:themeColor="text1"/>
          <w:sz w:val="20"/>
          <w:szCs w:val="20"/>
        </w:rPr>
        <w:t xml:space="preserve">horas, envie </w:t>
      </w:r>
      <w:r>
        <w:rPr>
          <w:rFonts w:cs="Arial" w:ascii="Verdana" w:hAnsi="Verdana"/>
          <w:color w:val="000000"/>
          <w:sz w:val="20"/>
          <w:szCs w:val="20"/>
        </w:rPr>
        <w:t xml:space="preserve">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276" w:before="113" w:after="113"/>
        <w:ind w:left="0" w:right="0" w:hanging="0"/>
        <w:contextualSpacing w:val="false"/>
        <w:jc w:val="both"/>
        <w:rPr/>
      </w:pPr>
      <w:r>
        <w:rPr>
          <w:rFonts w:cs="Arial" w:ascii="Verdana" w:hAnsi="Verdana"/>
          <w:color w:val="000000"/>
          <w:sz w:val="20"/>
          <w:szCs w:val="20"/>
        </w:rPr>
        <w:t xml:space="preserve">7.28 </w:t>
      </w:r>
      <w:r>
        <w:rPr>
          <w:rFonts w:cs="Arial" w:ascii="Verdana" w:hAnsi="Verdana"/>
          <w:color w:val="000000" w:themeColor="text1"/>
          <w:sz w:val="20"/>
          <w:szCs w:val="20"/>
        </w:rPr>
        <w:t>Após a negociação do preço, o Pregoeiro iniciará a fase de aceitação e julgamento da proposta.</w:t>
      </w:r>
    </w:p>
    <w:p>
      <w:pPr>
        <w:pStyle w:val="Nivel01"/>
        <w:numPr>
          <w:ilvl w:val="0"/>
          <w:numId w:val="1"/>
        </w:numPr>
        <w:tabs>
          <w:tab w:val="clear" w:pos="567"/>
          <w:tab w:val="left" w:pos="517" w:leader="none"/>
        </w:tabs>
        <w:spacing w:lineRule="auto" w:line="276" w:before="227" w:after="113"/>
        <w:ind w:left="0" w:right="0" w:hanging="0"/>
        <w:rPr/>
      </w:pPr>
      <w:r>
        <w:rPr>
          <w:rFonts w:cs="Arial" w:ascii="Verdana" w:hAnsi="Verdana"/>
          <w:lang w:eastAsia="en-US"/>
        </w:rPr>
        <w:t>DA ACEITABILIDADE DA PROPOSTA VENCEDORA.</w:t>
      </w:r>
    </w:p>
    <w:p>
      <w:pPr>
        <w:pStyle w:val="ListParagraph"/>
        <w:numPr>
          <w:ilvl w:val="1"/>
          <w:numId w:val="1"/>
        </w:numPr>
        <w:tabs>
          <w:tab w:val="clear" w:pos="720"/>
          <w:tab w:val="left" w:pos="517" w:leader="none"/>
        </w:tabs>
        <w:spacing w:lineRule="auto" w:line="276" w:before="113" w:after="113"/>
        <w:ind w:left="0" w:right="0" w:hanging="0"/>
        <w:contextualSpacing w:val="false"/>
        <w:jc w:val="both"/>
        <w:rPr/>
      </w:pPr>
      <w:r>
        <w:rPr>
          <w:rFonts w:ascii="Verdana" w:hAnsi="Verdana"/>
          <w:sz w:val="20"/>
          <w:szCs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1"/>
        </w:numPr>
        <w:tabs>
          <w:tab w:val="clear" w:pos="720"/>
          <w:tab w:val="left" w:pos="517" w:leader="none"/>
        </w:tabs>
        <w:spacing w:lineRule="auto" w:line="276" w:before="113" w:after="113"/>
        <w:ind w:left="0" w:right="0" w:hanging="0"/>
        <w:jc w:val="both"/>
        <w:rPr/>
      </w:pPr>
      <w:r>
        <w:rPr>
          <w:rFonts w:cs="Arial" w:ascii="Verdana" w:hAnsi="Verdana"/>
          <w:sz w:val="20"/>
          <w:szCs w:val="20"/>
        </w:rPr>
        <w:t>Ser</w:t>
      </w:r>
      <w:r>
        <w:rPr>
          <w:rFonts w:ascii="Verdana" w:hAnsi="Verdana"/>
          <w:sz w:val="20"/>
          <w:szCs w:val="20"/>
        </w:rPr>
        <w:t>á desclassificada a proposta ou o lance vencedor, apresentar preço final superior ao preço máximo fixado (Acórdão nº 1455/2018 –TCU –Plenário), ou que apresentar preço manifestamente inexequível.</w:t>
      </w:r>
    </w:p>
    <w:p>
      <w:pPr>
        <w:pStyle w:val="ListParagraph"/>
        <w:numPr>
          <w:ilvl w:val="2"/>
          <w:numId w:val="1"/>
        </w:numPr>
        <w:spacing w:lineRule="auto" w:line="276" w:before="113" w:after="113"/>
        <w:ind w:left="0" w:right="0" w:hanging="0"/>
        <w:contextualSpacing w:val="false"/>
        <w:jc w:val="both"/>
        <w:rPr/>
      </w:pPr>
      <w:r>
        <w:rPr>
          <w:rFonts w:cs="Arial" w:ascii="Verdana" w:hAnsi="Verdana"/>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pPr>
        <w:pStyle w:val="ListParagraph"/>
        <w:numPr>
          <w:ilvl w:val="1"/>
          <w:numId w:val="1"/>
        </w:numPr>
        <w:tabs>
          <w:tab w:val="clear" w:pos="720"/>
          <w:tab w:val="left" w:pos="517" w:leader="none"/>
        </w:tabs>
        <w:spacing w:lineRule="auto" w:line="276" w:before="113" w:after="113"/>
        <w:ind w:left="0" w:right="0" w:hanging="0"/>
        <w:contextualSpacing w:val="false"/>
        <w:jc w:val="both"/>
        <w:rPr/>
      </w:pPr>
      <w:r>
        <w:rPr>
          <w:rFonts w:cs="Arial" w:ascii="Verdana" w:hAnsi="Verdana"/>
          <w:color w:val="000000" w:themeColor="text1"/>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numPr>
          <w:ilvl w:val="1"/>
          <w:numId w:val="1"/>
        </w:numPr>
        <w:tabs>
          <w:tab w:val="clear" w:pos="720"/>
          <w:tab w:val="left" w:pos="517" w:leader="none"/>
        </w:tabs>
        <w:spacing w:lineRule="auto" w:line="276" w:before="113" w:after="113"/>
        <w:ind w:left="0" w:right="0" w:hanging="0"/>
        <w:contextualSpacing w:val="false"/>
        <w:jc w:val="both"/>
        <w:rPr/>
      </w:pPr>
      <w:r>
        <w:rPr>
          <w:rFonts w:cs="Arial" w:ascii="Verdana" w:hAnsi="Verdana"/>
          <w:color w:val="000000" w:themeColor="text1"/>
          <w:sz w:val="20"/>
          <w:szCs w:val="20"/>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1"/>
        </w:numPr>
        <w:tabs>
          <w:tab w:val="clear" w:pos="720"/>
          <w:tab w:val="left" w:pos="517" w:leader="none"/>
        </w:tabs>
        <w:spacing w:lineRule="auto" w:line="276" w:before="113" w:after="113"/>
        <w:ind w:left="0" w:right="0" w:hanging="0"/>
        <w:contextualSpacing w:val="false"/>
        <w:jc w:val="both"/>
        <w:rPr/>
      </w:pPr>
      <w:r>
        <w:rPr>
          <w:rFonts w:cs="Arial" w:ascii="Verdana" w:hAnsi="Verdana"/>
          <w:color w:val="000000" w:themeColor="text1"/>
          <w:sz w:val="20"/>
          <w:szCs w:val="20"/>
          <w:lang w:eastAsia="en-US"/>
        </w:rPr>
        <w:t xml:space="preserve">O Pregoeiro poderá convocar o licitante para enviar documento digital complementar, por meio de funcionalidade disponível no sistema, no prazo de </w:t>
      </w:r>
      <w:r>
        <w:rPr>
          <w:rFonts w:cs="Arial" w:ascii="Verdana" w:hAnsi="Verdana"/>
          <w:b/>
          <w:bCs/>
          <w:color w:val="000000" w:themeColor="text1"/>
          <w:sz w:val="20"/>
          <w:szCs w:val="20"/>
          <w:lang w:eastAsia="en-US"/>
        </w:rPr>
        <w:t>02 (duas) horas</w:t>
      </w:r>
      <w:r>
        <w:rPr>
          <w:rFonts w:cs="Arial" w:ascii="Verdana" w:hAnsi="Verdana"/>
          <w:color w:val="000000" w:themeColor="text1"/>
          <w:sz w:val="20"/>
          <w:szCs w:val="20"/>
          <w:lang w:eastAsia="en-US"/>
        </w:rPr>
        <w:t>, sob pena de não aceitação da proposta.</w:t>
      </w:r>
    </w:p>
    <w:p>
      <w:pPr>
        <w:pStyle w:val="ListParagraph"/>
        <w:tabs>
          <w:tab w:val="clear" w:pos="720"/>
          <w:tab w:val="left" w:pos="517" w:leader="none"/>
        </w:tabs>
        <w:spacing w:lineRule="auto" w:line="276" w:before="113" w:after="113"/>
        <w:ind w:left="0" w:right="0" w:hanging="0"/>
        <w:contextualSpacing w:val="false"/>
        <w:jc w:val="both"/>
        <w:rPr/>
      </w:pPr>
      <w:r>
        <w:rPr>
          <w:rFonts w:cs="Arial" w:ascii="Verdana" w:hAnsi="Verdana"/>
          <w:color w:val="000000"/>
          <w:sz w:val="20"/>
          <w:szCs w:val="20"/>
          <w:lang w:eastAsia="en-US"/>
        </w:rPr>
        <w:t>8.5.1 É facultado ao pregoeiro prorrogar o prazo estabelecido, a partir de solicitação fundamentada feita no chat pelo licitante, antes de findo o prazo</w:t>
      </w:r>
      <w:r>
        <w:rPr>
          <w:rFonts w:cs="Arial" w:ascii="Verdana" w:hAnsi="Verdana"/>
          <w:color w:val="000000" w:themeColor="text1"/>
          <w:sz w:val="20"/>
          <w:szCs w:val="20"/>
          <w:lang w:eastAsia="en-US"/>
        </w:rPr>
        <w:t>.</w:t>
      </w:r>
    </w:p>
    <w:p>
      <w:pPr>
        <w:pStyle w:val="ListParagraph"/>
        <w:spacing w:lineRule="auto" w:line="276" w:before="113" w:after="113"/>
        <w:ind w:left="0" w:right="0" w:hanging="0"/>
        <w:contextualSpacing w:val="false"/>
        <w:jc w:val="both"/>
        <w:rPr/>
      </w:pPr>
      <w:r>
        <w:rPr>
          <w:rFonts w:cs="Arial" w:ascii="Verdana" w:hAnsi="Verdana"/>
          <w:sz w:val="20"/>
          <w:szCs w:val="20"/>
          <w:lang w:eastAsia="en-US"/>
        </w:rPr>
        <w:t>8.5.2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pPr>
        <w:pStyle w:val="ListParagraph"/>
        <w:numPr>
          <w:ilvl w:val="1"/>
          <w:numId w:val="1"/>
        </w:numPr>
        <w:tabs>
          <w:tab w:val="clear" w:pos="720"/>
          <w:tab w:val="left" w:pos="517" w:leader="none"/>
        </w:tabs>
        <w:spacing w:lineRule="auto" w:line="276" w:before="113" w:after="113"/>
        <w:ind w:left="0" w:right="0" w:hanging="0"/>
        <w:contextualSpacing w:val="false"/>
        <w:jc w:val="both"/>
        <w:rPr/>
      </w:pPr>
      <w:r>
        <w:rPr>
          <w:rFonts w:cs="Arial" w:ascii="Verdana" w:hAnsi="Verdana"/>
          <w:bCs/>
          <w:iCs/>
          <w:color w:val="000000"/>
          <w:sz w:val="20"/>
          <w:szCs w:val="20"/>
        </w:rPr>
        <w:t>Se a proposta ou lance vencedor for desclassificado, o Pregoeiro examinará a proposta ou lance subsequente, e, assim sucessivamente, na ordem de classificação.</w:t>
      </w:r>
    </w:p>
    <w:p>
      <w:pPr>
        <w:pStyle w:val="ListParagraph"/>
        <w:numPr>
          <w:ilvl w:val="1"/>
          <w:numId w:val="1"/>
        </w:numPr>
        <w:tabs>
          <w:tab w:val="clear" w:pos="720"/>
          <w:tab w:val="left" w:pos="517" w:leader="none"/>
        </w:tabs>
        <w:spacing w:lineRule="auto" w:line="276" w:before="113" w:after="113"/>
        <w:ind w:left="0" w:right="0" w:hanging="0"/>
        <w:contextualSpacing w:val="false"/>
        <w:jc w:val="both"/>
        <w:rPr/>
      </w:pPr>
      <w:r>
        <w:rPr>
          <w:rFonts w:cs="Arial" w:ascii="Verdana" w:hAnsi="Verdana"/>
          <w:color w:val="000000"/>
          <w:sz w:val="20"/>
          <w:szCs w:val="20"/>
          <w:lang w:eastAsia="en-US"/>
        </w:rPr>
        <w:t>Havendo necessidade, o Pregoeiro suspenderá a sessão, informando no “</w:t>
      </w:r>
      <w:r>
        <w:rPr>
          <w:rFonts w:cs="Arial" w:ascii="Verdana" w:hAnsi="Verdana"/>
          <w:i/>
          <w:color w:val="000000"/>
          <w:sz w:val="20"/>
          <w:szCs w:val="20"/>
          <w:lang w:eastAsia="en-US"/>
        </w:rPr>
        <w:t>chat</w:t>
      </w:r>
      <w:r>
        <w:rPr>
          <w:rFonts w:cs="Arial" w:ascii="Verdana" w:hAnsi="Verdana"/>
          <w:color w:val="000000"/>
          <w:sz w:val="20"/>
          <w:szCs w:val="20"/>
          <w:lang w:eastAsia="en-US"/>
        </w:rPr>
        <w:t xml:space="preserve">” a </w:t>
      </w:r>
      <w:r>
        <w:rPr>
          <w:rFonts w:cs="Arial" w:ascii="Verdana" w:hAnsi="Verdana"/>
          <w:sz w:val="20"/>
          <w:szCs w:val="20"/>
          <w:lang w:eastAsia="en-US"/>
        </w:rPr>
        <w:t>nova data e horário para a sua continuidade.</w:t>
      </w:r>
    </w:p>
    <w:p>
      <w:pPr>
        <w:pStyle w:val="ListParagraph"/>
        <w:numPr>
          <w:ilvl w:val="1"/>
          <w:numId w:val="1"/>
        </w:numPr>
        <w:tabs>
          <w:tab w:val="clear" w:pos="720"/>
          <w:tab w:val="left" w:pos="517" w:leader="none"/>
        </w:tabs>
        <w:spacing w:lineRule="auto" w:line="276" w:before="113" w:after="113"/>
        <w:ind w:left="0" w:right="0" w:hanging="0"/>
        <w:contextualSpacing w:val="false"/>
        <w:jc w:val="both"/>
        <w:rPr/>
      </w:pPr>
      <w:r>
        <w:rPr>
          <w:rFonts w:cs="Arial" w:ascii="Verdana" w:hAnsi="Verdana"/>
          <w:sz w:val="20"/>
          <w:szCs w:val="20"/>
        </w:rPr>
        <w:t>O Pregoeiro poderá encaminhar, por meio do sistema eletrônico, contraproposta ao licitante que apresentou o lance mais vantajoso, com o fim de negociar a obtenção de melhor preço, vedada a negociação em condições diversas das previstas neste Edital.</w:t>
      </w:r>
    </w:p>
    <w:p>
      <w:pPr>
        <w:pStyle w:val="Normal"/>
        <w:tabs>
          <w:tab w:val="clear" w:pos="720"/>
          <w:tab w:val="left" w:pos="683" w:leader="none"/>
        </w:tabs>
        <w:snapToGrid w:val="false"/>
        <w:spacing w:lineRule="auto" w:line="276" w:before="113" w:after="113"/>
        <w:ind w:left="0" w:right="0" w:hanging="0"/>
        <w:jc w:val="both"/>
        <w:rPr/>
      </w:pPr>
      <w:r>
        <w:rPr>
          <w:rFonts w:cs="Arial" w:ascii="Verdana" w:hAnsi="Verdana"/>
          <w:sz w:val="20"/>
          <w:szCs w:val="20"/>
        </w:rPr>
        <w:t>8.8.1 Também nas hipóteses em que o Pregoeiro não aceitar a proposta e passar à subsequente, poderá negociar com o licitante para que seja obtido preço melhor.</w:t>
      </w:r>
    </w:p>
    <w:p>
      <w:pPr>
        <w:pStyle w:val="Normal"/>
        <w:tabs>
          <w:tab w:val="clear" w:pos="720"/>
          <w:tab w:val="left" w:pos="683" w:leader="none"/>
        </w:tabs>
        <w:snapToGrid w:val="false"/>
        <w:spacing w:lineRule="auto" w:line="276" w:before="113" w:after="113"/>
        <w:ind w:left="0" w:right="0" w:hanging="0"/>
        <w:jc w:val="both"/>
        <w:rPr/>
      </w:pPr>
      <w:r>
        <w:rPr>
          <w:rFonts w:cs="Arial" w:ascii="Verdana" w:hAnsi="Verdana"/>
          <w:color w:val="000000"/>
          <w:sz w:val="20"/>
          <w:szCs w:val="20"/>
        </w:rPr>
        <w:t>8.8.2 A negociação será realizada por meio do sistema, podendo ser acompanhada pelos demais licitantes.</w:t>
      </w:r>
    </w:p>
    <w:p>
      <w:pPr>
        <w:pStyle w:val="ListParagraph"/>
        <w:numPr>
          <w:ilvl w:val="1"/>
          <w:numId w:val="1"/>
        </w:numPr>
        <w:tabs>
          <w:tab w:val="clear" w:pos="720"/>
          <w:tab w:val="left" w:pos="517" w:leader="none"/>
        </w:tabs>
        <w:spacing w:lineRule="auto" w:line="276" w:before="113" w:after="113"/>
        <w:ind w:left="0" w:right="0" w:hanging="0"/>
        <w:contextualSpacing w:val="false"/>
        <w:jc w:val="both"/>
        <w:rPr/>
      </w:pPr>
      <w:r>
        <w:rPr>
          <w:rFonts w:cs="Arial" w:ascii="Verdana" w:hAnsi="Verdana"/>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1"/>
        </w:numPr>
        <w:spacing w:lineRule="auto" w:line="276" w:before="113" w:after="113"/>
        <w:ind w:left="0" w:right="0" w:hanging="0"/>
        <w:jc w:val="both"/>
        <w:rPr/>
      </w:pPr>
      <w:r>
        <w:rPr>
          <w:rFonts w:cs="Arial" w:ascii="Verdana" w:hAnsi="Verdana"/>
          <w:color w:val="000000"/>
          <w:sz w:val="20"/>
          <w:szCs w:val="20"/>
        </w:rPr>
        <w:t xml:space="preserve">Encerrada a análise quanto à aceitação da proposta, o pregoeiro verificará a habilitação do licitante, </w:t>
      </w:r>
      <w:r>
        <w:rPr>
          <w:rFonts w:cs="Arial" w:ascii="Verdana" w:hAnsi="Verdana"/>
          <w:color w:val="000000" w:themeColor="text1"/>
          <w:sz w:val="20"/>
          <w:szCs w:val="20"/>
          <w:lang w:eastAsia="en-US"/>
        </w:rPr>
        <w:t>observado</w:t>
      </w:r>
      <w:r>
        <w:rPr>
          <w:rFonts w:cs="Arial" w:ascii="Verdana" w:hAnsi="Verdana"/>
          <w:color w:val="000000"/>
          <w:sz w:val="20"/>
          <w:szCs w:val="20"/>
        </w:rPr>
        <w:t xml:space="preserve"> o disposto neste Edital.</w:t>
      </w:r>
    </w:p>
    <w:p>
      <w:pPr>
        <w:pStyle w:val="Nivel01"/>
        <w:numPr>
          <w:ilvl w:val="0"/>
          <w:numId w:val="1"/>
        </w:numPr>
        <w:spacing w:lineRule="auto" w:line="276" w:before="227" w:after="113"/>
        <w:ind w:left="0" w:right="0" w:hanging="0"/>
        <w:rPr/>
      </w:pPr>
      <w:r>
        <w:rPr>
          <w:rFonts w:cs="Arial" w:ascii="Verdana" w:hAnsi="Verdana"/>
          <w:lang w:eastAsia="en-US"/>
        </w:rPr>
        <w:t>DA HABILITAÇÃO</w:t>
      </w:r>
    </w:p>
    <w:p>
      <w:pPr>
        <w:pStyle w:val="ListParagraph"/>
        <w:numPr>
          <w:ilvl w:val="1"/>
          <w:numId w:val="1"/>
        </w:numPr>
        <w:spacing w:lineRule="auto" w:line="276" w:before="113" w:after="113"/>
        <w:ind w:left="0" w:right="0" w:hanging="0"/>
        <w:contextualSpacing w:val="false"/>
        <w:jc w:val="both"/>
        <w:rPr/>
      </w:pPr>
      <w:r>
        <w:rPr>
          <w:rFonts w:cs="Arial" w:ascii="Verdana" w:hAnsi="Verdana"/>
          <w:color w:val="000000"/>
          <w:sz w:val="20"/>
          <w:szCs w:val="2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widowControl/>
        <w:suppressAutoHyphens w:val="true"/>
        <w:bidi w:val="0"/>
        <w:spacing w:lineRule="auto" w:line="276" w:before="113" w:after="113"/>
        <w:ind w:left="850" w:right="0" w:hanging="0"/>
        <w:contextualSpacing w:val="false"/>
        <w:jc w:val="both"/>
        <w:rPr/>
      </w:pPr>
      <w:r>
        <w:rPr>
          <w:rFonts w:cs="Arial" w:ascii="Verdana" w:hAnsi="Verdana"/>
          <w:color w:val="000000"/>
          <w:sz w:val="20"/>
          <w:szCs w:val="20"/>
        </w:rPr>
        <w:t>a) SICAF;</w:t>
      </w:r>
    </w:p>
    <w:p>
      <w:pPr>
        <w:pStyle w:val="ListParagraph"/>
        <w:widowControl/>
        <w:suppressAutoHyphens w:val="true"/>
        <w:bidi w:val="0"/>
        <w:spacing w:lineRule="auto" w:line="276" w:before="113" w:after="113"/>
        <w:ind w:left="850" w:right="0" w:hanging="0"/>
        <w:contextualSpacing w:val="false"/>
        <w:jc w:val="both"/>
        <w:rPr/>
      </w:pPr>
      <w:r>
        <w:rPr>
          <w:rFonts w:cs="Arial" w:ascii="Verdana" w:hAnsi="Verdana"/>
          <w:color w:val="000000"/>
          <w:sz w:val="20"/>
          <w:szCs w:val="20"/>
        </w:rPr>
        <w:t>b) Cadastro Nacional de Empresas Inidôneas e Suspensas – CEIS, mantido pela Controladoria-Geral da União (</w:t>
      </w:r>
      <w:hyperlink r:id="rId3">
        <w:r>
          <w:rPr>
            <w:rStyle w:val="LinkdaInternet"/>
            <w:rFonts w:cs="Arial" w:ascii="Verdana" w:hAnsi="Verdana"/>
            <w:color w:val="000000"/>
            <w:sz w:val="20"/>
            <w:szCs w:val="20"/>
          </w:rPr>
          <w:t>www.portaldatransparencia.gov.br/ceis</w:t>
        </w:r>
      </w:hyperlink>
      <w:r>
        <w:rPr>
          <w:rFonts w:cs="Arial" w:ascii="Verdana" w:hAnsi="Verdana"/>
          <w:color w:val="000000"/>
          <w:sz w:val="20"/>
          <w:szCs w:val="20"/>
        </w:rPr>
        <w:t>);</w:t>
      </w:r>
    </w:p>
    <w:p>
      <w:pPr>
        <w:pStyle w:val="ListParagraph"/>
        <w:widowControl/>
        <w:suppressAutoHyphens w:val="true"/>
        <w:bidi w:val="0"/>
        <w:spacing w:lineRule="auto" w:line="276" w:before="113" w:after="113"/>
        <w:ind w:left="850" w:right="0" w:hanging="0"/>
        <w:contextualSpacing w:val="false"/>
        <w:jc w:val="both"/>
        <w:rPr/>
      </w:pPr>
      <w:r>
        <w:rPr>
          <w:rFonts w:cs="Arial" w:ascii="Verdana" w:hAnsi="Verdana"/>
          <w:color w:val="000000"/>
          <w:sz w:val="20"/>
          <w:szCs w:val="20"/>
        </w:rPr>
        <w:t>c) Cadastro Nacional de Condenações Cíveis por Atos de Improbidade Administrativa, mantido pelo Conselho Nacional de Justiça (</w:t>
      </w:r>
      <w:hyperlink r:id="rId4">
        <w:r>
          <w:rPr>
            <w:rStyle w:val="LinkdaInternet"/>
            <w:rFonts w:cs="Arial" w:ascii="Verdana" w:hAnsi="Verdana"/>
            <w:color w:val="000000"/>
            <w:sz w:val="20"/>
            <w:szCs w:val="20"/>
          </w:rPr>
          <w:t>www.cnj.jus.br/improbidade_adm/consultar_requerido.php</w:t>
        </w:r>
      </w:hyperlink>
      <w:r>
        <w:rPr>
          <w:rFonts w:cs="Arial" w:ascii="Verdana" w:hAnsi="Verdana"/>
          <w:color w:val="000000"/>
          <w:sz w:val="20"/>
          <w:szCs w:val="20"/>
        </w:rPr>
        <w:t>).</w:t>
      </w:r>
    </w:p>
    <w:p>
      <w:pPr>
        <w:pStyle w:val="ListParagraph"/>
        <w:widowControl/>
        <w:suppressAutoHyphens w:val="true"/>
        <w:bidi w:val="0"/>
        <w:spacing w:lineRule="auto" w:line="276" w:before="113" w:after="113"/>
        <w:ind w:left="850" w:right="0" w:hanging="0"/>
        <w:contextualSpacing w:val="false"/>
        <w:jc w:val="both"/>
        <w:rPr/>
      </w:pPr>
      <w:r>
        <w:rPr>
          <w:rFonts w:cs="Arial" w:ascii="Verdana" w:hAnsi="Verdana"/>
          <w:color w:val="000000"/>
          <w:sz w:val="20"/>
          <w:szCs w:val="20"/>
        </w:rPr>
        <w:t>d) Cadastro de Inidôneos e o Cadastro Integrado de Condenações por Ilícitos Administrativos – CADICON, mantidos pelo Tribunal de Contas da União – TCU;</w:t>
      </w:r>
    </w:p>
    <w:p>
      <w:pPr>
        <w:pStyle w:val="ListParagraph"/>
        <w:widowControl/>
        <w:suppressAutoHyphens w:val="true"/>
        <w:bidi w:val="0"/>
        <w:spacing w:lineRule="auto" w:line="276" w:before="113" w:after="113"/>
        <w:ind w:left="850" w:right="0" w:hanging="0"/>
        <w:contextualSpacing w:val="false"/>
        <w:jc w:val="both"/>
        <w:rPr/>
      </w:pPr>
      <w:r>
        <w:rPr>
          <w:rFonts w:cs="Arial" w:ascii="Verdana" w:hAnsi="Verdana"/>
          <w:color w:val="000000"/>
          <w:sz w:val="20"/>
          <w:szCs w:val="20"/>
        </w:rPr>
        <w:t>e) Cadastro de empresas inidôneas, mantido pelo Tribunal de Contas do Estado do Espírito Santo –TCE/ES (https://www.tcees.tc.br/portal-da-transparencia/consultas/lista-de-responsaveis/empresas-inidoneas/) e proibidas de contratar com o Poder Público estadual ou municipal (</w:t>
      </w:r>
      <w:hyperlink r:id="rId5">
        <w:r>
          <w:rPr>
            <w:rStyle w:val="LinkdaInternet"/>
            <w:rFonts w:cs="Arial" w:ascii="Verdana" w:hAnsi="Verdana"/>
            <w:color w:val="000000"/>
            <w:sz w:val="20"/>
            <w:szCs w:val="20"/>
          </w:rPr>
          <w:t>https://www.tcees.tc.br/portal-da-transparencia/consultas/lista-de-responsaveis/proibidos-de-contratar/</w:t>
        </w:r>
      </w:hyperlink>
      <w:r>
        <w:rPr>
          <w:rFonts w:cs="Arial" w:ascii="Verdana" w:hAnsi="Verdana"/>
          <w:color w:val="000000"/>
          <w:sz w:val="20"/>
          <w:szCs w:val="20"/>
        </w:rPr>
        <w:t>).</w:t>
      </w:r>
    </w:p>
    <w:p>
      <w:pPr>
        <w:pStyle w:val="Nivel01"/>
        <w:numPr>
          <w:ilvl w:val="2"/>
          <w:numId w:val="1"/>
        </w:numPr>
        <w:spacing w:lineRule="auto" w:line="276" w:before="113" w:after="113"/>
        <w:ind w:left="0" w:right="0" w:hanging="0"/>
        <w:rPr/>
      </w:pPr>
      <w:r>
        <w:rPr>
          <w:rFonts w:cs="Arial" w:ascii="Verdana" w:hAnsi="Verdana"/>
          <w:b w:val="false"/>
        </w:rPr>
        <w:t>Para a consulta de licitantes pessoa jurídica poderá haver a substituição das consultas das alíneas “b”, “c” e “d” acima pela Consulta Consolidada de Pessoa Jurídica do TCU (</w:t>
      </w:r>
      <w:hyperlink r:id="rId6">
        <w:r>
          <w:rPr>
            <w:rStyle w:val="LinkdaInternet"/>
            <w:rFonts w:cs="Arial" w:ascii="Verdana" w:hAnsi="Verdana"/>
            <w:b w:val="false"/>
            <w:color w:val="000000"/>
          </w:rPr>
          <w:t>https://certidoesapf.apps.tcu.gov.br/</w:t>
        </w:r>
      </w:hyperlink>
      <w:r>
        <w:rPr>
          <w:rFonts w:cs="Arial" w:ascii="Verdana" w:hAnsi="Verdana"/>
          <w:b w:val="false"/>
        </w:rPr>
        <w:t>);</w:t>
      </w:r>
    </w:p>
    <w:p>
      <w:pPr>
        <w:pStyle w:val="Nivel01"/>
        <w:numPr>
          <w:ilvl w:val="2"/>
          <w:numId w:val="1"/>
        </w:numPr>
        <w:spacing w:lineRule="auto" w:line="276" w:before="113" w:after="113"/>
        <w:ind w:left="0" w:right="0" w:hanging="0"/>
        <w:rPr/>
      </w:pPr>
      <w:r>
        <w:rPr>
          <w:rFonts w:cs="Arial" w:ascii="Verdana" w:hAnsi="Verdana"/>
          <w:b w:val="false"/>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76" w:before="113" w:after="113"/>
        <w:ind w:left="0" w:right="0" w:hanging="0"/>
        <w:contextualSpacing w:val="false"/>
        <w:jc w:val="both"/>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76" w:before="113" w:after="113"/>
        <w:ind w:left="0" w:right="0" w:hanging="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76" w:before="113" w:after="113"/>
        <w:ind w:left="0" w:right="0" w:hanging="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numPr>
          <w:ilvl w:val="2"/>
          <w:numId w:val="1"/>
        </w:numPr>
        <w:spacing w:lineRule="auto" w:line="276" w:before="113" w:after="113"/>
        <w:ind w:left="0" w:right="0" w:hanging="0"/>
        <w:contextualSpacing w:val="false"/>
        <w:jc w:val="both"/>
        <w:rPr/>
      </w:pPr>
      <w:r>
        <w:rPr>
          <w:rFonts w:cs="Arial" w:ascii="Verdana" w:hAnsi="Verdana"/>
          <w:bCs/>
          <w:color w:val="000000"/>
          <w:sz w:val="20"/>
          <w:szCs w:val="20"/>
        </w:rPr>
        <w:t>Constatada a existência de sanção, o Pregoeiro reputará o licitante inabilitado, por falta de condição de participação.</w:t>
      </w:r>
    </w:p>
    <w:p>
      <w:pPr>
        <w:pStyle w:val="ListParagraph"/>
        <w:numPr>
          <w:ilvl w:val="2"/>
          <w:numId w:val="1"/>
        </w:numPr>
        <w:spacing w:lineRule="auto" w:line="276" w:before="113" w:after="113"/>
        <w:ind w:left="0" w:right="0" w:hanging="0"/>
        <w:contextualSpacing w:val="false"/>
        <w:jc w:val="both"/>
        <w:rPr/>
      </w:pPr>
      <w:r>
        <w:rPr>
          <w:rFonts w:cs="Arial" w:ascii="Verdana" w:hAnsi="Verdana"/>
          <w:bCs/>
          <w:color w:val="000000"/>
          <w:sz w:val="20"/>
          <w:szCs w:val="20"/>
        </w:rPr>
        <w:t>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1"/>
        </w:numPr>
        <w:tabs>
          <w:tab w:val="clear" w:pos="720"/>
          <w:tab w:val="left" w:pos="567" w:leader="none"/>
        </w:tabs>
        <w:spacing w:lineRule="auto" w:line="276" w:before="113" w:after="113"/>
        <w:ind w:left="0" w:right="0" w:hanging="0"/>
        <w:contextualSpacing w:val="false"/>
        <w:jc w:val="both"/>
        <w:rPr/>
      </w:pPr>
      <w:r>
        <w:rPr>
          <w:rFonts w:cs="Arial" w:ascii="Verdana" w:hAnsi="Verdana"/>
          <w:bCs/>
          <w:color w:val="000000"/>
          <w:sz w:val="20"/>
          <w:szCs w:val="20"/>
        </w:rPr>
        <w:t xml:space="preserve"> </w:t>
      </w:r>
      <w:r>
        <w:rPr>
          <w:rFonts w:cs="Arial" w:ascii="Verdana" w:hAnsi="Verdana"/>
          <w:bCs/>
          <w:color w:val="000000"/>
          <w:sz w:val="20"/>
          <w:szCs w:val="20"/>
        </w:rPr>
        <w:t>Caso atendidas as condições de participação, a habilitação dos licitantes será verificada por meio do SICAF, nos documentos por ele abrangidos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1"/>
        </w:numPr>
        <w:spacing w:lineRule="auto" w:line="276" w:before="113" w:after="113"/>
        <w:ind w:left="0" w:right="0" w:hanging="0"/>
        <w:contextualSpacing w:val="false"/>
        <w:jc w:val="both"/>
        <w:rPr/>
      </w:pPr>
      <w:r>
        <w:rPr>
          <w:rFonts w:cs="Arial" w:ascii="Verdana" w:hAnsi="Verdana"/>
          <w:bCs/>
          <w:color w:val="000000"/>
          <w:sz w:val="20"/>
          <w:szCs w:val="20"/>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1"/>
        </w:numPr>
        <w:spacing w:lineRule="auto" w:line="276" w:before="113" w:after="113"/>
        <w:ind w:left="0" w:right="0" w:hanging="0"/>
        <w:contextualSpacing w:val="false"/>
        <w:jc w:val="both"/>
        <w:rPr/>
      </w:pPr>
      <w:r>
        <w:rPr>
          <w:rFonts w:cs="Arial" w:ascii="Verdana" w:hAnsi="Verdana"/>
          <w:bCs/>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1"/>
        </w:numPr>
        <w:spacing w:lineRule="auto" w:line="276" w:before="113" w:after="113"/>
        <w:ind w:left="0" w:right="0" w:hanging="0"/>
        <w:contextualSpacing w:val="false"/>
        <w:jc w:val="both"/>
        <w:rPr/>
      </w:pPr>
      <w:r>
        <w:rPr>
          <w:rFonts w:cs="Arial" w:ascii="Verdana" w:hAnsi="Verdana"/>
          <w:bCs/>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1"/>
        </w:numPr>
        <w:spacing w:lineRule="auto" w:line="276" w:before="113" w:after="113"/>
        <w:ind w:left="0" w:right="0" w:hanging="0"/>
        <w:contextualSpacing w:val="false"/>
        <w:jc w:val="both"/>
        <w:rPr/>
      </w:pPr>
      <w:r>
        <w:rPr>
          <w:rFonts w:cs="Arial" w:ascii="Verdana" w:hAnsi="Verdana"/>
          <w:bCs/>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1"/>
        </w:numPr>
        <w:spacing w:lineRule="auto" w:line="276" w:before="113" w:after="113"/>
        <w:ind w:left="0" w:right="0" w:hanging="0"/>
        <w:contextualSpacing w:val="false"/>
        <w:jc w:val="both"/>
        <w:rPr/>
      </w:pPr>
      <w:r>
        <w:rPr>
          <w:rFonts w:cs="Arial" w:ascii="Verdana" w:hAnsi="Verdana"/>
          <w:bCs/>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13" w:after="113"/>
        <w:ind w:left="0" w:right="0" w:hanging="0"/>
        <w:contextualSpacing w:val="false"/>
        <w:jc w:val="both"/>
        <w:rPr/>
      </w:pPr>
      <w:r>
        <w:rPr>
          <w:rFonts w:cs="Arial" w:ascii="Verdana" w:hAnsi="Verdana"/>
          <w:bCs/>
          <w:color w:val="000000"/>
          <w:sz w:val="20"/>
          <w:szCs w:val="20"/>
        </w:rPr>
        <w:t>Não serão aceitos documentos de habilitação com indicação de CNPJ/CPF diferentes, salvo aqueles legalmente permitidos.</w:t>
      </w:r>
    </w:p>
    <w:p>
      <w:pPr>
        <w:pStyle w:val="ListParagraph"/>
        <w:numPr>
          <w:ilvl w:val="1"/>
          <w:numId w:val="1"/>
        </w:numPr>
        <w:spacing w:lineRule="auto" w:line="276" w:before="113" w:after="113"/>
        <w:ind w:left="0" w:right="0" w:hanging="0"/>
        <w:contextualSpacing w:val="false"/>
        <w:jc w:val="both"/>
        <w:rPr/>
      </w:pPr>
      <w:r>
        <w:rPr>
          <w:rFonts w:ascii="Verdana" w:hAnsi="Verdana"/>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1"/>
        </w:numPr>
        <w:spacing w:lineRule="auto" w:line="276" w:before="113" w:after="113"/>
        <w:ind w:left="0" w:right="0" w:hanging="0"/>
        <w:contextualSpacing w:val="false"/>
        <w:jc w:val="both"/>
        <w:rPr/>
      </w:pPr>
      <w:r>
        <w:rPr>
          <w:rFonts w:ascii="Verdana" w:hAnsi="Verdana"/>
          <w:bCs/>
          <w:sz w:val="20"/>
          <w:szCs w:val="20"/>
        </w:rPr>
        <w:t>Ressalvado o disposto no item 5.3, os licitantes deverão encaminhar, nos termos deste Edital, a</w:t>
      </w:r>
      <w:r>
        <w:rPr>
          <w:rFonts w:ascii="Verdana" w:hAnsi="Verdana"/>
          <w:sz w:val="20"/>
          <w:szCs w:val="20"/>
        </w:rPr>
        <w:t xml:space="preserve"> documentação relacionada nos itens a seguir, para fins de habilitação:</w:t>
      </w:r>
    </w:p>
    <w:p>
      <w:pPr>
        <w:pStyle w:val="ListParagraph"/>
        <w:numPr>
          <w:ilvl w:val="1"/>
          <w:numId w:val="1"/>
        </w:numPr>
        <w:spacing w:lineRule="auto" w:line="276" w:before="113" w:after="113"/>
        <w:ind w:left="0" w:right="0" w:hanging="0"/>
        <w:contextualSpacing w:val="false"/>
        <w:jc w:val="both"/>
        <w:rPr/>
      </w:pPr>
      <w:r>
        <w:rPr>
          <w:rFonts w:cs="Arial" w:ascii="Verdana" w:hAnsi="Verdana"/>
          <w:b/>
          <w:bCs/>
          <w:color w:val="000000"/>
          <w:sz w:val="20"/>
          <w:szCs w:val="20"/>
        </w:rPr>
        <w:t>Habilitação jurídica:</w:t>
      </w:r>
    </w:p>
    <w:p>
      <w:pPr>
        <w:pStyle w:val="ListParagraph"/>
        <w:numPr>
          <w:ilvl w:val="2"/>
          <w:numId w:val="1"/>
        </w:numPr>
        <w:spacing w:lineRule="auto" w:line="276" w:before="113" w:after="113"/>
        <w:ind w:left="0" w:right="0" w:hanging="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1"/>
        </w:numPr>
        <w:spacing w:lineRule="auto" w:line="276" w:before="113" w:after="113"/>
        <w:ind w:left="0" w:right="0" w:hanging="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nkdaInternet"/>
            <w:rFonts w:cs="Arial" w:ascii="Verdana" w:hAnsi="Verdana"/>
            <w:bCs/>
            <w:color w:val="000000"/>
            <w:sz w:val="20"/>
            <w:szCs w:val="20"/>
          </w:rPr>
          <w:t>www.portaldoempreendedor.gov.br</w:t>
        </w:r>
      </w:hyperlink>
      <w:r>
        <w:rPr>
          <w:rFonts w:cs="Arial" w:ascii="Verdana" w:hAnsi="Verdana"/>
          <w:bCs/>
          <w:color w:val="000000"/>
          <w:sz w:val="20"/>
          <w:szCs w:val="20"/>
        </w:rPr>
        <w:t>;</w:t>
      </w:r>
    </w:p>
    <w:p>
      <w:pPr>
        <w:pStyle w:val="ListParagraph"/>
        <w:numPr>
          <w:ilvl w:val="2"/>
          <w:numId w:val="1"/>
        </w:numPr>
        <w:spacing w:lineRule="auto" w:line="276" w:before="113" w:after="113"/>
        <w:ind w:left="0" w:right="0" w:hanging="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1"/>
        </w:numPr>
        <w:spacing w:lineRule="auto" w:line="276" w:before="113" w:after="113"/>
        <w:ind w:left="0" w:right="0" w:hanging="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1"/>
        </w:numPr>
        <w:spacing w:lineRule="auto" w:line="276" w:before="113" w:after="113"/>
        <w:ind w:left="0" w:right="0" w:hanging="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1"/>
        </w:numPr>
        <w:spacing w:lineRule="auto" w:line="276" w:before="113" w:after="113"/>
        <w:ind w:left="0" w:right="0" w:hanging="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1"/>
        </w:numPr>
        <w:spacing w:lineRule="auto" w:line="276" w:before="113" w:after="113"/>
        <w:ind w:left="0" w:right="0" w:hanging="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1"/>
        </w:numPr>
        <w:spacing w:lineRule="auto" w:line="276" w:before="113" w:after="113"/>
        <w:ind w:left="0" w:right="0" w:hanging="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1"/>
        </w:numPr>
        <w:spacing w:lineRule="auto" w:line="276" w:before="113" w:after="113"/>
        <w:ind w:left="0" w:right="0" w:hanging="0"/>
        <w:contextualSpacing w:val="false"/>
        <w:jc w:val="both"/>
        <w:rPr/>
      </w:pPr>
      <w:r>
        <w:rPr>
          <w:rFonts w:cs="Arial" w:ascii="Verdana" w:hAnsi="Verdana"/>
          <w:b/>
          <w:bCs/>
          <w:color w:val="000000"/>
          <w:sz w:val="20"/>
          <w:szCs w:val="20"/>
        </w:rPr>
        <w:t>Regularidade fiscal e trabalhista:</w:t>
      </w:r>
    </w:p>
    <w:p>
      <w:pPr>
        <w:pStyle w:val="Normal"/>
        <w:numPr>
          <w:ilvl w:val="2"/>
          <w:numId w:val="1"/>
        </w:numPr>
        <w:snapToGrid w:val="false"/>
        <w:spacing w:lineRule="auto" w:line="276" w:before="113" w:after="113"/>
        <w:ind w:left="0" w:right="0" w:hanging="0"/>
        <w:jc w:val="both"/>
        <w:rPr/>
      </w:pPr>
      <w:r>
        <w:rPr>
          <w:rFonts w:cs="Arial" w:ascii="Verdana" w:hAnsi="Verdana"/>
          <w:color w:val="000000"/>
          <w:sz w:val="20"/>
          <w:szCs w:val="20"/>
        </w:rPr>
        <w:t>Prova de inscrição no Cadastro Nacional de Pessoas Jurídicas ou no Cadastro de Pessoas Físicas, conforme o caso;</w:t>
      </w:r>
    </w:p>
    <w:p>
      <w:pPr>
        <w:pStyle w:val="Normal"/>
        <w:numPr>
          <w:ilvl w:val="2"/>
          <w:numId w:val="1"/>
        </w:numPr>
        <w:snapToGrid w:val="false"/>
        <w:spacing w:lineRule="auto" w:line="276" w:before="113" w:after="113"/>
        <w:ind w:left="0" w:right="0" w:hanging="0"/>
        <w:jc w:val="both"/>
        <w:rPr/>
      </w:pPr>
      <w:r>
        <w:rPr>
          <w:rFonts w:cs="Arial" w:ascii="Verdana" w:hAnsi="Verdana"/>
          <w:color w:val="000000"/>
          <w:sz w:val="20"/>
          <w:szCs w:val="20"/>
        </w:rPr>
        <w:t>Certidão de regularidade junto à fazenda pública</w:t>
      </w:r>
      <w:r>
        <w:rPr>
          <w:rFonts w:cs="Arial" w:ascii="Verdana" w:hAnsi="Verdana"/>
          <w:b/>
          <w:color w:val="000000"/>
          <w:sz w:val="20"/>
          <w:szCs w:val="20"/>
        </w:rPr>
        <w:t xml:space="preserve"> Municipal, </w:t>
      </w:r>
      <w:r>
        <w:rPr>
          <w:rFonts w:cs="Arial" w:ascii="Verdana" w:hAnsi="Verdana"/>
          <w:color w:val="000000"/>
          <w:sz w:val="20"/>
          <w:szCs w:val="20"/>
        </w:rPr>
        <w:t>do domicílio do Licitante</w:t>
      </w:r>
      <w:r>
        <w:rPr>
          <w:rFonts w:cs="Arial" w:ascii="Verdana" w:hAnsi="Verdana"/>
          <w:b/>
          <w:color w:val="000000"/>
          <w:sz w:val="20"/>
          <w:szCs w:val="20"/>
        </w:rPr>
        <w:t>;</w:t>
      </w:r>
    </w:p>
    <w:p>
      <w:pPr>
        <w:pStyle w:val="Normal"/>
        <w:numPr>
          <w:ilvl w:val="2"/>
          <w:numId w:val="1"/>
        </w:numPr>
        <w:snapToGrid w:val="false"/>
        <w:spacing w:lineRule="auto" w:line="276" w:before="113" w:after="113"/>
        <w:ind w:left="0" w:right="0" w:hanging="0"/>
        <w:jc w:val="both"/>
        <w:rPr/>
      </w:pPr>
      <w:r>
        <w:rPr>
          <w:rFonts w:cs="Arial" w:ascii="Verdana" w:hAnsi="Verdana"/>
          <w:color w:val="000000"/>
          <w:sz w:val="20"/>
          <w:szCs w:val="20"/>
        </w:rPr>
        <w:t>Certidão de regularidade junto à fazenda pública</w:t>
      </w:r>
      <w:r>
        <w:rPr>
          <w:rFonts w:cs="Arial" w:ascii="Verdana" w:hAnsi="Verdana"/>
          <w:b/>
          <w:color w:val="000000"/>
          <w:sz w:val="20"/>
          <w:szCs w:val="20"/>
        </w:rPr>
        <w:t xml:space="preserve"> Estadual, </w:t>
      </w:r>
      <w:r>
        <w:rPr>
          <w:rFonts w:cs="Arial" w:ascii="Verdana" w:hAnsi="Verdana"/>
          <w:color w:val="000000"/>
          <w:sz w:val="20"/>
          <w:szCs w:val="20"/>
        </w:rPr>
        <w:t>do domicílio do Licitante</w:t>
      </w:r>
      <w:r>
        <w:rPr>
          <w:rFonts w:cs="Arial" w:ascii="Verdana" w:hAnsi="Verdana"/>
          <w:b/>
          <w:color w:val="000000"/>
          <w:sz w:val="20"/>
          <w:szCs w:val="20"/>
        </w:rPr>
        <w:t>;</w:t>
      </w:r>
    </w:p>
    <w:p>
      <w:pPr>
        <w:pStyle w:val="Normal"/>
        <w:numPr>
          <w:ilvl w:val="2"/>
          <w:numId w:val="1"/>
        </w:numPr>
        <w:snapToGrid w:val="false"/>
        <w:spacing w:lineRule="auto" w:line="276" w:before="113" w:after="113"/>
        <w:ind w:left="0" w:right="0" w:hanging="0"/>
        <w:jc w:val="both"/>
        <w:rPr/>
      </w:pPr>
      <w:r>
        <w:rPr>
          <w:rFonts w:cs="Arial" w:ascii="Verdana" w:hAnsi="Verdana"/>
          <w:color w:val="000000"/>
          <w:sz w:val="20"/>
          <w:szCs w:val="20"/>
        </w:rPr>
        <w:t xml:space="preserve">Certidão conjunta de regularidade junto à fazenda pública </w:t>
      </w:r>
      <w:r>
        <w:rPr>
          <w:rFonts w:cs="Arial" w:ascii="Verdana" w:hAnsi="Verdana"/>
          <w:b/>
          <w:color w:val="000000"/>
          <w:sz w:val="20"/>
          <w:szCs w:val="20"/>
        </w:rPr>
        <w:t>Federal,</w:t>
      </w:r>
      <w:r>
        <w:rPr>
          <w:rFonts w:cs="Arial" w:ascii="Verdana" w:hAnsi="Verdana"/>
          <w:color w:val="000000"/>
          <w:sz w:val="20"/>
          <w:szCs w:val="20"/>
        </w:rPr>
        <w:t xml:space="preserve"> </w:t>
      </w:r>
      <w:r>
        <w:rPr>
          <w:rFonts w:cs="Arial" w:ascii="Verdana" w:hAnsi="Verdana"/>
          <w:b/>
          <w:color w:val="000000"/>
          <w:sz w:val="20"/>
          <w:szCs w:val="20"/>
        </w:rPr>
        <w:t xml:space="preserve">(Quitação de tributos e contribuições Federais e Quanto à dívida ativa da União) </w:t>
      </w:r>
      <w:r>
        <w:rPr>
          <w:rFonts w:cs="Arial" w:ascii="Verdana" w:hAnsi="Verdana"/>
          <w:color w:val="000000"/>
          <w:sz w:val="20"/>
          <w:szCs w:val="20"/>
        </w:rPr>
        <w:t>e junto ao</w:t>
      </w:r>
      <w:r>
        <w:rPr>
          <w:rFonts w:cs="Arial" w:ascii="Verdana" w:hAnsi="Verdana"/>
          <w:b/>
          <w:color w:val="000000"/>
          <w:sz w:val="20"/>
          <w:szCs w:val="20"/>
        </w:rPr>
        <w:t xml:space="preserve"> INSS, conforme Portaria MF nº 358 de 05/09/2014;</w:t>
      </w:r>
    </w:p>
    <w:p>
      <w:pPr>
        <w:pStyle w:val="Normal"/>
        <w:numPr>
          <w:ilvl w:val="2"/>
          <w:numId w:val="1"/>
        </w:numPr>
        <w:snapToGrid w:val="false"/>
        <w:spacing w:lineRule="auto" w:line="276" w:before="113" w:after="113"/>
        <w:ind w:left="0" w:right="0" w:hanging="0"/>
        <w:jc w:val="both"/>
        <w:rPr/>
      </w:pPr>
      <w:r>
        <w:rPr>
          <w:rFonts w:cs="Arial" w:ascii="Verdana" w:hAnsi="Verdana"/>
          <w:color w:val="000000"/>
          <w:sz w:val="20"/>
          <w:szCs w:val="20"/>
        </w:rPr>
        <w:t>Certidão de regularidade junto ao</w:t>
      </w:r>
      <w:r>
        <w:rPr>
          <w:rFonts w:cs="Arial" w:ascii="Verdana" w:hAnsi="Verdana"/>
          <w:b/>
          <w:color w:val="000000"/>
          <w:sz w:val="20"/>
          <w:szCs w:val="20"/>
        </w:rPr>
        <w:t xml:space="preserve"> FGTS;</w:t>
      </w:r>
    </w:p>
    <w:p>
      <w:pPr>
        <w:pStyle w:val="Normal"/>
        <w:numPr>
          <w:ilvl w:val="2"/>
          <w:numId w:val="1"/>
        </w:numPr>
        <w:snapToGrid w:val="false"/>
        <w:spacing w:lineRule="auto" w:line="276" w:before="113" w:after="113"/>
        <w:ind w:left="0" w:right="0" w:hanging="0"/>
        <w:jc w:val="both"/>
        <w:rPr/>
      </w:pPr>
      <w:r>
        <w:rPr>
          <w:rFonts w:cs="Arial" w:ascii="Verdana" w:hAnsi="Verdana"/>
          <w:color w:val="000000"/>
          <w:sz w:val="20"/>
          <w:szCs w:val="20"/>
        </w:rPr>
        <w:t>Certidão Negativa De Débitos Trabalhistas (CNDT) de acordo com a Lei 12440 de 7 de julho de 2011.</w:t>
      </w:r>
    </w:p>
    <w:p>
      <w:pPr>
        <w:pStyle w:val="Normal"/>
        <w:numPr>
          <w:ilvl w:val="2"/>
          <w:numId w:val="1"/>
        </w:numPr>
        <w:snapToGrid w:val="false"/>
        <w:spacing w:lineRule="auto" w:line="276" w:before="113" w:after="113"/>
        <w:ind w:left="0" w:right="0" w:hanging="0"/>
        <w:jc w:val="both"/>
        <w:rPr/>
      </w:pPr>
      <w:r>
        <w:rPr>
          <w:rFonts w:cs="Arial" w:ascii="Verdana" w:hAnsi="Verdana"/>
          <w:color w:val="000000"/>
          <w:sz w:val="20"/>
          <w:szCs w:val="20"/>
        </w:rPr>
        <w:t>Caso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pPr>
        <w:pStyle w:val="ListParagraph"/>
        <w:numPr>
          <w:ilvl w:val="1"/>
          <w:numId w:val="1"/>
        </w:numPr>
        <w:spacing w:lineRule="auto" w:line="276" w:before="113" w:after="113"/>
        <w:ind w:left="0" w:right="0" w:hanging="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1"/>
        </w:numPr>
        <w:tabs>
          <w:tab w:val="clear" w:pos="720"/>
          <w:tab w:val="left" w:pos="850" w:leader="none"/>
        </w:tabs>
        <w:snapToGrid w:val="false"/>
        <w:spacing w:lineRule="auto" w:line="276" w:before="113" w:after="113"/>
        <w:ind w:left="0" w:right="0" w:hanging="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1"/>
        </w:numPr>
        <w:tabs>
          <w:tab w:val="clear" w:pos="720"/>
          <w:tab w:val="left" w:pos="850" w:leader="none"/>
        </w:tabs>
        <w:snapToGrid w:val="false"/>
        <w:spacing w:lineRule="auto" w:line="276" w:before="113" w:after="113"/>
        <w:ind w:left="0" w:right="0" w:hanging="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1"/>
        </w:numPr>
        <w:tabs>
          <w:tab w:val="clear" w:pos="720"/>
          <w:tab w:val="left" w:pos="850" w:leader="none"/>
        </w:tabs>
        <w:snapToGrid w:val="false"/>
        <w:spacing w:lineRule="auto" w:line="276" w:before="113" w:after="113"/>
        <w:ind w:left="0" w:right="0" w:hanging="0"/>
        <w:jc w:val="both"/>
        <w:rPr/>
      </w:pPr>
      <w:r>
        <w:rPr>
          <w:rFonts w:cs="Arial" w:ascii="Verdana" w:hAnsi="Verdana"/>
          <w:color w:val="000000"/>
          <w:sz w:val="20"/>
          <w:szCs w:val="20"/>
        </w:rPr>
        <w:t xml:space="preserve"> </w:t>
      </w:r>
      <w:r>
        <w:rPr>
          <w:rFonts w:cs="Arial" w:ascii="Verdana" w:hAnsi="Verdana"/>
          <w:color w:val="000000"/>
          <w:sz w:val="20"/>
          <w:szCs w:val="20"/>
        </w:rPr>
        <w:t xml:space="preserve">Para a contagem do prazo estabelecido na letra </w:t>
      </w:r>
      <w:r>
        <w:rPr>
          <w:rFonts w:cs="Arial" w:ascii="Verdana" w:hAnsi="Verdana"/>
          <w:b/>
          <w:color w:val="000000"/>
          <w:sz w:val="20"/>
          <w:szCs w:val="20"/>
        </w:rPr>
        <w:t>“a”</w:t>
      </w:r>
      <w:r>
        <w:rPr>
          <w:rFonts w:cs="Arial" w:ascii="Verdana" w:hAnsi="Verdana"/>
          <w:color w:val="000000"/>
          <w:sz w:val="20"/>
          <w:szCs w:val="20"/>
        </w:rPr>
        <w:t xml:space="preserve"> deste capítulo, será contado a partir do primeiro dia que antecede a data da realização desta licitação.</w:t>
      </w:r>
    </w:p>
    <w:p>
      <w:pPr>
        <w:pStyle w:val="Normal"/>
        <w:numPr>
          <w:ilvl w:val="2"/>
          <w:numId w:val="1"/>
        </w:numPr>
        <w:tabs>
          <w:tab w:val="clear" w:pos="720"/>
          <w:tab w:val="left" w:pos="850" w:leader="none"/>
        </w:tabs>
        <w:snapToGrid w:val="false"/>
        <w:spacing w:lineRule="auto" w:line="276" w:before="113" w:after="113"/>
        <w:ind w:left="0" w:right="0" w:hanging="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1"/>
        </w:numPr>
        <w:spacing w:lineRule="auto" w:line="276" w:before="113" w:after="113"/>
        <w:ind w:left="0" w:right="0" w:hanging="0"/>
        <w:contextualSpacing w:val="false"/>
        <w:jc w:val="both"/>
        <w:rPr/>
      </w:pP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20"/>
          <w:tab w:val="left" w:pos="850" w:leader="none"/>
        </w:tabs>
        <w:snapToGrid w:val="false"/>
        <w:spacing w:lineRule="auto" w:line="276" w:before="113" w:after="113"/>
        <w:ind w:left="0" w:right="0" w:hanging="0"/>
        <w:jc w:val="both"/>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20"/>
          <w:tab w:val="left" w:pos="850" w:leader="none"/>
        </w:tabs>
        <w:snapToGrid w:val="false"/>
        <w:spacing w:lineRule="auto" w:line="276" w:before="113" w:after="113"/>
        <w:ind w:left="0" w:right="0" w:hanging="0"/>
        <w:jc w:val="both"/>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1"/>
        </w:numPr>
        <w:tabs>
          <w:tab w:val="clear" w:pos="720"/>
          <w:tab w:val="left" w:pos="617" w:leader="none"/>
        </w:tabs>
        <w:snapToGrid w:val="false"/>
        <w:spacing w:lineRule="auto" w:line="276" w:before="113" w:after="113"/>
        <w:ind w:left="0" w:right="0" w:hanging="0"/>
        <w:contextualSpacing w:val="false"/>
        <w:jc w:val="both"/>
        <w:rPr/>
      </w:pPr>
      <w:r>
        <w:rPr>
          <w:rFonts w:cs="Arial" w:ascii="Verdana" w:hAnsi="Verdana"/>
          <w:bCs/>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tabs>
          <w:tab w:val="clear" w:pos="720"/>
          <w:tab w:val="left" w:pos="617" w:leader="none"/>
        </w:tabs>
        <w:snapToGrid w:val="false"/>
        <w:spacing w:lineRule="auto" w:line="276" w:before="113" w:after="113"/>
        <w:ind w:left="0" w:right="0" w:hanging="0"/>
        <w:contextualSpacing w:val="false"/>
        <w:jc w:val="both"/>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1"/>
        </w:numPr>
        <w:tabs>
          <w:tab w:val="clear" w:pos="720"/>
          <w:tab w:val="left" w:pos="850" w:leader="none"/>
        </w:tabs>
        <w:snapToGrid w:val="false"/>
        <w:spacing w:lineRule="auto" w:line="276" w:before="113" w:after="113"/>
        <w:ind w:left="0" w:right="0" w:hanging="0"/>
        <w:contextualSpacing w:val="false"/>
        <w:jc w:val="both"/>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1"/>
        </w:numPr>
        <w:tabs>
          <w:tab w:val="clear" w:pos="720"/>
          <w:tab w:val="left" w:pos="517" w:leader="none"/>
        </w:tabs>
        <w:snapToGrid w:val="false"/>
        <w:spacing w:lineRule="auto" w:line="276" w:before="113" w:after="113"/>
        <w:ind w:left="0" w:right="0" w:hanging="0"/>
        <w:contextualSpacing w:val="false"/>
        <w:jc w:val="both"/>
        <w:rPr/>
      </w:pPr>
      <w:r>
        <w:rPr>
          <w:rFonts w:cs="Arial" w:ascii="Verdana" w:hAnsi="Verdana"/>
          <w:bCs/>
          <w:color w:val="000000"/>
          <w:sz w:val="20"/>
          <w:szCs w:val="20"/>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1"/>
        </w:numPr>
        <w:tabs>
          <w:tab w:val="clear" w:pos="720"/>
          <w:tab w:val="left" w:pos="517" w:leader="none"/>
        </w:tabs>
        <w:snapToGrid w:val="false"/>
        <w:spacing w:lineRule="auto" w:line="276" w:before="113" w:after="113"/>
        <w:ind w:left="0" w:right="0" w:hanging="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1"/>
        </w:numPr>
        <w:tabs>
          <w:tab w:val="clear" w:pos="720"/>
          <w:tab w:val="left" w:pos="517" w:leader="none"/>
        </w:tabs>
        <w:snapToGrid w:val="false"/>
        <w:spacing w:lineRule="auto" w:line="276" w:before="113" w:after="113"/>
        <w:ind w:left="0" w:right="0" w:hanging="0"/>
        <w:contextualSpacing w:val="false"/>
        <w:jc w:val="both"/>
        <w:rPr/>
      </w:pPr>
      <w:r>
        <w:rPr>
          <w:rFonts w:cs="Arial" w:ascii="Verdana" w:hAnsi="Verdana"/>
          <w:bCs/>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1"/>
        </w:numPr>
        <w:tabs>
          <w:tab w:val="clear" w:pos="720"/>
          <w:tab w:val="left" w:pos="517" w:leader="none"/>
        </w:tabs>
        <w:snapToGrid w:val="false"/>
        <w:spacing w:lineRule="auto" w:line="276" w:before="113" w:after="113"/>
        <w:ind w:left="0" w:right="0" w:hanging="0"/>
        <w:contextualSpacing w:val="false"/>
        <w:jc w:val="both"/>
        <w:rPr/>
      </w:pPr>
      <w:r>
        <w:rPr>
          <w:rFonts w:cs="Arial" w:ascii="Verdana" w:hAnsi="Verdana"/>
          <w:bCs/>
          <w:color w:val="000000"/>
          <w:sz w:val="20"/>
          <w:szCs w:val="20"/>
        </w:rPr>
        <w:t>Será inabilitado o licitante que não comprovar sua habilitação, seja por não apresentar quaisquer dos documentos exigidos, ou apresentá-los em desacordo com o estabelecido neste Edital.</w:t>
      </w:r>
    </w:p>
    <w:p>
      <w:pPr>
        <w:pStyle w:val="ListParagraph"/>
        <w:numPr>
          <w:ilvl w:val="1"/>
          <w:numId w:val="1"/>
        </w:numPr>
        <w:tabs>
          <w:tab w:val="clear" w:pos="720"/>
          <w:tab w:val="left" w:pos="517" w:leader="none"/>
        </w:tabs>
        <w:snapToGrid w:val="false"/>
        <w:spacing w:lineRule="auto" w:line="276" w:before="113" w:after="113"/>
        <w:ind w:left="0" w:right="0" w:hanging="0"/>
        <w:contextualSpacing w:val="false"/>
        <w:jc w:val="both"/>
        <w:rPr/>
      </w:pPr>
      <w:r>
        <w:rPr>
          <w:rFonts w:cs="Arial" w:ascii="Verdana" w:hAnsi="Verdana"/>
          <w:bCs/>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pPr>
        <w:pStyle w:val="ListParagraph"/>
        <w:numPr>
          <w:ilvl w:val="1"/>
          <w:numId w:val="1"/>
        </w:numPr>
        <w:tabs>
          <w:tab w:val="clear" w:pos="720"/>
          <w:tab w:val="left" w:pos="517" w:leader="none"/>
        </w:tabs>
        <w:snapToGrid w:val="false"/>
        <w:spacing w:lineRule="auto" w:line="276" w:before="113" w:after="113"/>
        <w:ind w:left="0" w:right="0" w:hanging="0"/>
        <w:contextualSpacing w:val="false"/>
        <w:jc w:val="both"/>
        <w:rPr/>
      </w:pPr>
      <w:r>
        <w:rPr>
          <w:rFonts w:cs="Arial" w:ascii="Verdana" w:hAnsi="Verdana"/>
          <w:bCs/>
          <w:color w:val="000000"/>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numPr>
          <w:ilvl w:val="1"/>
          <w:numId w:val="1"/>
        </w:numPr>
        <w:tabs>
          <w:tab w:val="clear" w:pos="720"/>
          <w:tab w:val="left" w:pos="517" w:leader="none"/>
        </w:tabs>
        <w:snapToGrid w:val="false"/>
        <w:spacing w:lineRule="auto" w:line="276" w:before="113" w:after="113"/>
        <w:ind w:left="0" w:right="0" w:hanging="0"/>
        <w:contextualSpacing w:val="false"/>
        <w:jc w:val="both"/>
        <w:rPr/>
      </w:pPr>
      <w:r>
        <w:rPr>
          <w:rFonts w:cs="Arial" w:ascii="Verdana" w:hAnsi="Verdana"/>
          <w:bCs/>
          <w:color w:val="000000"/>
          <w:sz w:val="20"/>
          <w:szCs w:val="20"/>
        </w:rPr>
        <w:t>Não havendo a comprovação cumulativa dos requisitos de habilitação, a inabilitação recairá sobre o(s) item(ns) de menor(es) valor(es) cuja retirada(s) seja(m) suficiente(s) para a habilitação do licitante nos remanescentes.</w:t>
      </w:r>
    </w:p>
    <w:p>
      <w:pPr>
        <w:pStyle w:val="ListParagraph"/>
        <w:numPr>
          <w:ilvl w:val="1"/>
          <w:numId w:val="1"/>
        </w:numPr>
        <w:tabs>
          <w:tab w:val="clear" w:pos="720"/>
          <w:tab w:val="left" w:pos="517" w:leader="none"/>
        </w:tabs>
        <w:snapToGrid w:val="false"/>
        <w:spacing w:lineRule="auto" w:line="276" w:before="113" w:after="113"/>
        <w:ind w:left="0" w:right="0" w:hanging="0"/>
        <w:contextualSpacing w:val="false"/>
        <w:jc w:val="both"/>
        <w:rPr/>
      </w:pPr>
      <w:r>
        <w:rPr>
          <w:rFonts w:cs="Arial" w:ascii="Verdana" w:hAnsi="Verdana"/>
          <w:bCs/>
          <w:color w:val="000000"/>
          <w:sz w:val="20"/>
          <w:szCs w:val="20"/>
        </w:rPr>
        <w:t>Constatado o atendimento às exigências de habilitação fixadas no Edital, o licitante será declarado vencedor.</w:t>
      </w:r>
    </w:p>
    <w:p>
      <w:pPr>
        <w:pStyle w:val="Nivel01"/>
        <w:numPr>
          <w:ilvl w:val="0"/>
          <w:numId w:val="1"/>
        </w:numPr>
        <w:spacing w:lineRule="auto" w:line="276" w:before="227" w:after="113"/>
        <w:ind w:left="0" w:right="0" w:hanging="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1"/>
        </w:numPr>
        <w:tabs>
          <w:tab w:val="clear" w:pos="720"/>
          <w:tab w:val="left" w:pos="617" w:leader="none"/>
        </w:tabs>
        <w:spacing w:lineRule="auto" w:line="276" w:before="113" w:after="113"/>
        <w:ind w:left="0" w:right="0" w:hanging="0"/>
        <w:contextualSpacing w:val="false"/>
        <w:jc w:val="both"/>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02 (duas) horas</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1"/>
        </w:numPr>
        <w:tabs>
          <w:tab w:val="clear" w:pos="720"/>
          <w:tab w:val="left" w:pos="617" w:leader="none"/>
          <w:tab w:val="left" w:pos="900" w:leader="none"/>
        </w:tabs>
        <w:spacing w:lineRule="auto" w:line="276" w:before="113" w:after="113"/>
        <w:ind w:left="0" w:right="0" w:hanging="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1"/>
        </w:numPr>
        <w:tabs>
          <w:tab w:val="clear" w:pos="720"/>
          <w:tab w:val="left" w:pos="617" w:leader="none"/>
          <w:tab w:val="left" w:pos="900" w:leader="none"/>
        </w:tabs>
        <w:spacing w:lineRule="auto" w:line="276" w:before="113" w:after="113"/>
        <w:ind w:left="0" w:right="0" w:hanging="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1"/>
        </w:numPr>
        <w:spacing w:lineRule="auto" w:line="276" w:before="113" w:after="113"/>
        <w:ind w:left="0" w:right="0" w:hanging="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1"/>
        </w:numPr>
        <w:tabs>
          <w:tab w:val="clear" w:pos="720"/>
          <w:tab w:val="left" w:pos="850" w:leader="none"/>
        </w:tabs>
        <w:spacing w:lineRule="auto" w:line="276" w:before="113" w:after="113"/>
        <w:ind w:left="0" w:right="0" w:hanging="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1"/>
        </w:numPr>
        <w:spacing w:lineRule="auto" w:line="276" w:before="113" w:after="113"/>
        <w:ind w:left="0" w:right="0" w:hanging="0"/>
        <w:contextualSpacing w:val="false"/>
        <w:jc w:val="both"/>
        <w:rPr/>
      </w:pPr>
      <w:r>
        <w:rPr>
          <w:rFonts w:cs="Arial" w:ascii="Verdana" w:hAnsi="Verdana"/>
          <w:sz w:val="20"/>
          <w:szCs w:val="20"/>
        </w:rPr>
        <w:t>Os preços deverão ser expressos em moeda corrente nacional, o valor unitário em algarismos e o valor global em algarismos e por extenso (art. 5º da Lei nº 8.666/93).</w:t>
      </w:r>
    </w:p>
    <w:p>
      <w:pPr>
        <w:pStyle w:val="Normal"/>
        <w:numPr>
          <w:ilvl w:val="2"/>
          <w:numId w:val="1"/>
        </w:numPr>
        <w:tabs>
          <w:tab w:val="clear" w:pos="720"/>
          <w:tab w:val="left" w:pos="850" w:leader="none"/>
        </w:tabs>
        <w:spacing w:lineRule="auto" w:line="276" w:before="113" w:after="113"/>
        <w:ind w:left="0" w:right="0" w:hanging="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1"/>
        </w:numPr>
        <w:spacing w:lineRule="auto" w:line="276" w:before="113" w:after="113"/>
        <w:ind w:left="0" w:right="0" w:hanging="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1"/>
        </w:numPr>
        <w:spacing w:lineRule="auto" w:line="276" w:before="113" w:after="113"/>
        <w:ind w:left="0" w:right="0" w:hanging="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1"/>
        </w:numPr>
        <w:spacing w:lineRule="auto" w:line="276" w:before="113" w:after="113"/>
        <w:ind w:left="0" w:right="0" w:hanging="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Nivel01"/>
        <w:numPr>
          <w:ilvl w:val="0"/>
          <w:numId w:val="1"/>
        </w:numPr>
        <w:spacing w:lineRule="auto" w:line="276" w:before="227" w:after="113"/>
        <w:ind w:left="0" w:right="0" w:hanging="0"/>
        <w:rPr/>
      </w:pPr>
      <w:r>
        <w:rPr>
          <w:rFonts w:cs="Arial" w:ascii="Verdana" w:hAnsi="Verdana"/>
          <w:lang w:eastAsia="en-US"/>
        </w:rPr>
        <w:t>DOS RECURSOS</w:t>
      </w:r>
    </w:p>
    <w:p>
      <w:pPr>
        <w:pStyle w:val="ListParagraph"/>
        <w:numPr>
          <w:ilvl w:val="1"/>
          <w:numId w:val="1"/>
        </w:numPr>
        <w:spacing w:lineRule="auto" w:line="276" w:before="113" w:after="113"/>
        <w:ind w:left="0" w:right="0" w:hanging="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1"/>
        </w:numPr>
        <w:spacing w:lineRule="auto" w:line="276" w:before="113" w:after="113"/>
        <w:ind w:left="0" w:right="0" w:hanging="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1"/>
        </w:numPr>
        <w:tabs>
          <w:tab w:val="clear" w:pos="720"/>
          <w:tab w:val="left" w:pos="850" w:leader="none"/>
        </w:tabs>
        <w:snapToGrid w:val="false"/>
        <w:spacing w:lineRule="auto" w:line="276" w:before="113" w:after="113"/>
        <w:ind w:left="0" w:right="0" w:hanging="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1"/>
        </w:numPr>
        <w:tabs>
          <w:tab w:val="clear" w:pos="720"/>
          <w:tab w:val="left" w:pos="850" w:leader="none"/>
        </w:tabs>
        <w:snapToGrid w:val="false"/>
        <w:spacing w:lineRule="auto" w:line="276" w:before="113" w:after="113"/>
        <w:ind w:left="0" w:right="0" w:hanging="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1"/>
        </w:numPr>
        <w:tabs>
          <w:tab w:val="clear" w:pos="720"/>
          <w:tab w:val="left" w:pos="850" w:leader="none"/>
        </w:tabs>
        <w:snapToGrid w:val="false"/>
        <w:spacing w:lineRule="auto" w:line="276" w:before="113" w:after="113"/>
        <w:ind w:left="0" w:right="0" w:hanging="0"/>
        <w:jc w:val="both"/>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1"/>
        </w:numPr>
        <w:spacing w:lineRule="auto" w:line="276" w:before="113" w:after="113"/>
        <w:ind w:left="0" w:right="0" w:hanging="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1"/>
        </w:numPr>
        <w:spacing w:lineRule="auto" w:line="276" w:before="113" w:after="113"/>
        <w:ind w:left="0" w:right="0" w:hanging="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Nivel01"/>
        <w:numPr>
          <w:ilvl w:val="0"/>
          <w:numId w:val="1"/>
        </w:numPr>
        <w:spacing w:lineRule="auto" w:line="276" w:before="227" w:after="113"/>
        <w:ind w:left="0" w:right="0" w:hanging="0"/>
        <w:rPr/>
      </w:pPr>
      <w:r>
        <w:rPr>
          <w:rFonts w:cs="Arial" w:ascii="Verdana" w:hAnsi="Verdana"/>
          <w:lang w:eastAsia="en-US"/>
        </w:rPr>
        <w:t>DA REABERTURA DA SESSÃO PÚBLICA</w:t>
      </w:r>
    </w:p>
    <w:p>
      <w:pPr>
        <w:pStyle w:val="ListParagraph"/>
        <w:numPr>
          <w:ilvl w:val="1"/>
          <w:numId w:val="1"/>
        </w:numPr>
        <w:spacing w:lineRule="auto" w:line="276" w:before="113" w:after="113"/>
        <w:ind w:left="0" w:right="0" w:hanging="0"/>
        <w:contextualSpacing w:val="false"/>
        <w:rPr/>
      </w:pPr>
      <w:r>
        <w:rPr>
          <w:rFonts w:ascii="Verdana" w:hAnsi="Verdana"/>
          <w:sz w:val="20"/>
          <w:szCs w:val="20"/>
        </w:rPr>
        <w:t>A sessão pública poderá ser reaberta:</w:t>
      </w:r>
    </w:p>
    <w:p>
      <w:pPr>
        <w:pStyle w:val="ListParagraph"/>
        <w:numPr>
          <w:ilvl w:val="2"/>
          <w:numId w:val="1"/>
        </w:numPr>
        <w:tabs>
          <w:tab w:val="clear" w:pos="720"/>
          <w:tab w:val="left" w:pos="960" w:leader="none"/>
        </w:tabs>
        <w:spacing w:lineRule="auto" w:line="276" w:before="113" w:after="113"/>
        <w:ind w:left="0" w:right="0" w:hanging="0"/>
        <w:contextualSpacing w:val="false"/>
        <w:rPr/>
      </w:pPr>
      <w:r>
        <w:rPr>
          <w:rFonts w:ascii="Verdana" w:hAnsi="Verdana"/>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ListParagraph"/>
        <w:numPr>
          <w:ilvl w:val="2"/>
          <w:numId w:val="1"/>
        </w:numPr>
        <w:tabs>
          <w:tab w:val="clear" w:pos="720"/>
          <w:tab w:val="left" w:pos="570" w:leader="none"/>
          <w:tab w:val="left" w:pos="960" w:leader="none"/>
        </w:tabs>
        <w:spacing w:lineRule="auto" w:line="276" w:before="113" w:after="113"/>
        <w:ind w:left="0" w:right="0" w:hanging="0"/>
        <w:contextualSpacing w:val="false"/>
        <w:rPr/>
      </w:pPr>
      <w:r>
        <w:rPr>
          <w:rFonts w:ascii="Verdana" w:hAnsi="Verdana"/>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ListParagraph"/>
        <w:numPr>
          <w:ilvl w:val="1"/>
          <w:numId w:val="1"/>
        </w:numPr>
        <w:spacing w:lineRule="auto" w:line="276" w:before="113" w:after="113"/>
        <w:ind w:left="0" w:right="0" w:hanging="0"/>
        <w:contextualSpacing w:val="false"/>
        <w:rPr/>
      </w:pPr>
      <w:r>
        <w:rPr>
          <w:rFonts w:ascii="Verdana" w:hAnsi="Verdana"/>
          <w:sz w:val="20"/>
          <w:szCs w:val="20"/>
        </w:rPr>
        <w:t>Todos os licitantes remanescentes deverão ser convocados para acompanhar a sessão reaberta.</w:t>
      </w:r>
    </w:p>
    <w:p>
      <w:pPr>
        <w:pStyle w:val="ListParagraph"/>
        <w:numPr>
          <w:ilvl w:val="2"/>
          <w:numId w:val="1"/>
        </w:numPr>
        <w:tabs>
          <w:tab w:val="clear" w:pos="720"/>
          <w:tab w:val="left" w:pos="855" w:leader="none"/>
        </w:tabs>
        <w:spacing w:lineRule="auto" w:line="276" w:before="113" w:after="113"/>
        <w:ind w:left="0" w:right="0" w:hanging="0"/>
        <w:contextualSpacing w:val="false"/>
        <w:rPr/>
      </w:pPr>
      <w:r>
        <w:rPr>
          <w:rFonts w:ascii="Verdana" w:hAnsi="Verdana"/>
          <w:sz w:val="20"/>
          <w:szCs w:val="20"/>
        </w:rPr>
        <w:t>A convocação se dará por meio do sistema eletrônico (“chat”), e-mail, de acordo com a fase do procedimento licitatório.</w:t>
      </w:r>
    </w:p>
    <w:p>
      <w:pPr>
        <w:pStyle w:val="ListParagraph"/>
        <w:numPr>
          <w:ilvl w:val="2"/>
          <w:numId w:val="1"/>
        </w:numPr>
        <w:tabs>
          <w:tab w:val="clear" w:pos="720"/>
          <w:tab w:val="left" w:pos="855" w:leader="none"/>
        </w:tabs>
        <w:spacing w:lineRule="auto" w:line="276" w:before="113" w:after="113"/>
        <w:ind w:left="0" w:right="0" w:hanging="0"/>
        <w:contextualSpacing w:val="false"/>
        <w:rPr/>
      </w:pPr>
      <w:r>
        <w:rPr>
          <w:rFonts w:ascii="Verdana" w:hAnsi="Verdana"/>
          <w:sz w:val="20"/>
          <w:szCs w:val="20"/>
        </w:rPr>
        <w:t>A convocação feita por e-mail dar-se-á de acordo com os dados contidos no SICAF, sendo responsabilidade do licitante manter seus dados cadastrais atualizados.</w:t>
      </w:r>
    </w:p>
    <w:p>
      <w:pPr>
        <w:pStyle w:val="Nivel01"/>
        <w:numPr>
          <w:ilvl w:val="0"/>
          <w:numId w:val="1"/>
        </w:numPr>
        <w:spacing w:lineRule="auto" w:line="276" w:before="227" w:after="113"/>
        <w:ind w:left="0" w:right="0" w:hanging="0"/>
        <w:rPr/>
      </w:pPr>
      <w:r>
        <w:rPr>
          <w:rFonts w:cs="Arial" w:ascii="Verdana" w:hAnsi="Verdana"/>
        </w:rPr>
        <w:t xml:space="preserve">DA ADJUDICAÇÃO E HOMOLOGAÇÃO </w:t>
      </w:r>
    </w:p>
    <w:p>
      <w:pPr>
        <w:pStyle w:val="ListParagraph"/>
        <w:numPr>
          <w:ilvl w:val="1"/>
          <w:numId w:val="1"/>
        </w:numPr>
        <w:spacing w:lineRule="auto" w:line="276" w:before="113" w:after="113"/>
        <w:ind w:left="0" w:right="0" w:hanging="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1"/>
        </w:numPr>
        <w:spacing w:lineRule="auto" w:line="276" w:before="113" w:after="113"/>
        <w:ind w:left="0" w:right="0" w:hanging="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Nivel01"/>
        <w:numPr>
          <w:ilvl w:val="0"/>
          <w:numId w:val="1"/>
        </w:numPr>
        <w:spacing w:lineRule="auto" w:line="276" w:before="227" w:after="113"/>
        <w:ind w:left="0" w:right="0" w:hanging="0"/>
        <w:rPr/>
      </w:pPr>
      <w:r>
        <w:rPr>
          <w:rFonts w:cs="Arial" w:ascii="Verdana" w:hAnsi="Verdana"/>
          <w:color w:val="auto"/>
        </w:rPr>
        <w:t xml:space="preserve">DA GARANTIA DE EXECUÇÃO </w:t>
      </w:r>
    </w:p>
    <w:p>
      <w:pPr>
        <w:pStyle w:val="ListParagraph"/>
        <w:numPr>
          <w:ilvl w:val="1"/>
          <w:numId w:val="1"/>
        </w:numPr>
        <w:spacing w:lineRule="auto" w:line="276" w:before="113" w:after="113"/>
        <w:ind w:left="0" w:right="0" w:hanging="0"/>
        <w:contextualSpacing w:val="false"/>
        <w:jc w:val="both"/>
        <w:rPr/>
      </w:pPr>
      <w:r>
        <w:rPr>
          <w:rFonts w:cs="Arial" w:ascii="Verdana" w:hAnsi="Verdana"/>
          <w:sz w:val="20"/>
          <w:szCs w:val="20"/>
        </w:rPr>
        <w:t>Não haverá exigência de garantia de execução para a presente contratação.</w:t>
      </w:r>
    </w:p>
    <w:p>
      <w:pPr>
        <w:pStyle w:val="ListParagraph"/>
        <w:numPr>
          <w:ilvl w:val="2"/>
          <w:numId w:val="1"/>
        </w:numPr>
        <w:tabs>
          <w:tab w:val="clear" w:pos="720"/>
          <w:tab w:val="left" w:pos="850" w:leader="none"/>
        </w:tabs>
        <w:spacing w:lineRule="auto" w:line="276" w:before="113" w:after="113"/>
        <w:ind w:left="0" w:right="0" w:hanging="0"/>
        <w:contextualSpacing w:val="false"/>
        <w:jc w:val="both"/>
        <w:rPr/>
      </w:pPr>
      <w:r>
        <w:rPr>
          <w:rFonts w:cs="Arial" w:ascii="Verdana" w:hAnsi="Verdana"/>
          <w:sz w:val="20"/>
          <w:szCs w:val="20"/>
        </w:rPr>
        <w:t>A eventual e futura contratação não trará riscos à administração visto que se trata de registro de preços para aquisição eventual de bens, que ocorrerá, após a emissão da nota de empenho, em entrega única; e</w:t>
      </w:r>
    </w:p>
    <w:p>
      <w:pPr>
        <w:pStyle w:val="ListParagraph"/>
        <w:numPr>
          <w:ilvl w:val="2"/>
          <w:numId w:val="1"/>
        </w:numPr>
        <w:tabs>
          <w:tab w:val="clear" w:pos="720"/>
          <w:tab w:val="left" w:pos="850" w:leader="none"/>
        </w:tabs>
        <w:spacing w:lineRule="auto" w:line="276" w:before="113" w:after="113"/>
        <w:ind w:left="0" w:right="0" w:hanging="0"/>
        <w:contextualSpacing w:val="false"/>
        <w:jc w:val="both"/>
        <w:rPr/>
      </w:pPr>
      <w:r>
        <w:rPr>
          <w:rFonts w:cs="Arial" w:ascii="Verdana" w:hAnsi="Verdana"/>
          <w:sz w:val="20"/>
          <w:szCs w:val="20"/>
        </w:rPr>
        <w:t>O pagamento à contratada só ocorrerá após o recebimento definitivo e o atendimento a todas as condições previstas no Edital.</w:t>
      </w:r>
    </w:p>
    <w:p>
      <w:pPr>
        <w:pStyle w:val="Nivel01"/>
        <w:spacing w:lineRule="auto" w:line="276" w:before="227" w:after="113"/>
        <w:ind w:left="0" w:right="0" w:hanging="0"/>
        <w:rPr/>
      </w:pPr>
      <w:r>
        <w:rPr>
          <w:rFonts w:cs="Arial" w:ascii="Verdana" w:hAnsi="Verdana"/>
          <w:iCs/>
          <w:color w:val="auto"/>
        </w:rPr>
        <w:t xml:space="preserve">15. </w:t>
      </w:r>
      <w:r>
        <w:rPr>
          <w:rFonts w:cs="Arial" w:ascii="Verdana" w:hAnsi="Verdana"/>
          <w:color w:val="auto"/>
        </w:rPr>
        <w:t>DA ATA DE REGISTRO DE PREÇOS</w:t>
      </w:r>
    </w:p>
    <w:p>
      <w:pPr>
        <w:pStyle w:val="ListParagraph"/>
        <w:tabs>
          <w:tab w:val="clear" w:pos="720"/>
          <w:tab w:val="left" w:pos="850" w:leader="none"/>
        </w:tabs>
        <w:spacing w:lineRule="auto" w:line="276" w:before="113" w:after="113"/>
        <w:ind w:left="0" w:right="0" w:hanging="0"/>
        <w:contextualSpacing w:val="false"/>
        <w:jc w:val="both"/>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20"/>
          <w:tab w:val="left" w:pos="850" w:leader="none"/>
        </w:tabs>
        <w:spacing w:lineRule="auto" w:line="276" w:before="113" w:after="113"/>
        <w:ind w:left="0" w:right="0" w:hanging="0"/>
        <w:contextualSpacing w:val="false"/>
        <w:jc w:val="both"/>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20"/>
          <w:tab w:val="left" w:pos="850" w:leader="none"/>
        </w:tabs>
        <w:spacing w:lineRule="auto" w:line="276" w:before="113" w:after="113"/>
        <w:ind w:left="0" w:right="0" w:hanging="0"/>
        <w:contextualSpacing w:val="false"/>
        <w:jc w:val="both"/>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20"/>
          <w:tab w:val="left" w:pos="850" w:leader="none"/>
        </w:tabs>
        <w:spacing w:lineRule="auto" w:line="276" w:before="113" w:after="113"/>
        <w:ind w:left="0" w:right="0" w:hanging="0"/>
        <w:contextualSpacing w:val="false"/>
        <w:jc w:val="both"/>
        <w:rPr/>
      </w:pPr>
      <w:r>
        <w:rPr>
          <w:rFonts w:cs="Arial" w:ascii="Verdana" w:hAnsi="Verdana"/>
          <w:sz w:val="20"/>
          <w:szCs w:val="20"/>
        </w:rPr>
        <w:t>15.4 Serão formalizadas tantas Atas de Registro de Preços quanto necessárias para o registro de todos os itens constantes no Anexo I, com a indicação do licitante vencedor, a descrição do(s) item(ns), as respectivas quantidades, preços registrados e demais condições.</w:t>
      </w:r>
    </w:p>
    <w:p>
      <w:pPr>
        <w:pStyle w:val="ListParagraph"/>
        <w:tabs>
          <w:tab w:val="clear" w:pos="720"/>
          <w:tab w:val="left" w:pos="850" w:leader="none"/>
        </w:tabs>
        <w:spacing w:lineRule="auto" w:line="276" w:before="113" w:after="113"/>
        <w:ind w:left="0" w:right="0" w:hanging="0"/>
        <w:contextualSpacing w:val="false"/>
        <w:jc w:val="both"/>
        <w:rPr/>
      </w:pPr>
      <w:r>
        <w:rPr>
          <w:rFonts w:cs="Arial" w:ascii="Verdana" w:hAnsi="Verdana"/>
          <w:sz w:val="20"/>
          <w:szCs w:val="20"/>
        </w:rPr>
        <w:t>15.5 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pPr>
        <w:pStyle w:val="Nivel01"/>
        <w:spacing w:lineRule="auto" w:line="276" w:before="227" w:after="113"/>
        <w:ind w:left="0" w:right="0" w:hanging="0"/>
        <w:rPr/>
      </w:pPr>
      <w:r>
        <w:rPr>
          <w:rFonts w:cs="Arial" w:ascii="Verdana" w:hAnsi="Verdana"/>
        </w:rPr>
        <w:t>1</w:t>
      </w:r>
      <w:r>
        <w:rPr>
          <w:rFonts w:eastAsia="" w:cs="Arial" w:ascii="Verdana" w:hAnsi="Verdana" w:eastAsiaTheme="minorEastAsia"/>
          <w:color w:val="auto"/>
        </w:rPr>
        <w:t>6</w:t>
      </w:r>
      <w:r>
        <w:rPr>
          <w:rFonts w:cs="Arial" w:ascii="Verdana" w:hAnsi="Verdana"/>
        </w:rPr>
        <w:t>. DO REAJUSTAMENTO EM SENTIDO GERAL</w:t>
      </w:r>
    </w:p>
    <w:p>
      <w:pPr>
        <w:pStyle w:val="ListParagraph"/>
        <w:spacing w:lineRule="auto" w:line="276" w:before="113" w:after="113"/>
        <w:ind w:left="0" w:right="0" w:hanging="0"/>
        <w:contextualSpacing w:val="false"/>
        <w:jc w:val="both"/>
        <w:rPr/>
      </w:pPr>
      <w:r>
        <w:rPr>
          <w:rFonts w:cs="Arial" w:ascii="Verdana" w:hAnsi="Verdana"/>
          <w:sz w:val="20"/>
          <w:szCs w:val="20"/>
        </w:rPr>
        <w:t xml:space="preserve">16.1 </w:t>
      </w:r>
      <w:r>
        <w:rPr>
          <w:rFonts w:cs="Arial" w:ascii="Verdana" w:hAnsi="Verdana"/>
          <w:color w:val="000000" w:themeColor="text1"/>
          <w:sz w:val="20"/>
          <w:szCs w:val="20"/>
        </w:rPr>
        <w:t xml:space="preserve">As regras </w:t>
      </w:r>
      <w:r>
        <w:rPr>
          <w:rFonts w:eastAsia="Arial" w:cs="Arial" w:ascii="Verdana" w:hAnsi="Verdana"/>
          <w:color w:val="000000" w:themeColor="text1"/>
          <w:sz w:val="20"/>
          <w:szCs w:val="20"/>
        </w:rPr>
        <w:t>acerca</w:t>
      </w:r>
      <w:r>
        <w:rPr>
          <w:rFonts w:cs="Arial" w:ascii="Verdana" w:hAnsi="Verdana"/>
          <w:color w:val="000000" w:themeColor="text1"/>
          <w:sz w:val="20"/>
          <w:szCs w:val="20"/>
        </w:rPr>
        <w:t xml:space="preserve"> do reajustamento em sentido geral do valor contratual são as estabelecidas no </w:t>
      </w:r>
      <w:r>
        <w:rPr>
          <w:rFonts w:cs="Arial" w:ascii="Verdana" w:hAnsi="Verdana"/>
          <w:color w:val="000000"/>
          <w:sz w:val="20"/>
          <w:szCs w:val="20"/>
          <w:lang w:eastAsia="en-US"/>
        </w:rPr>
        <w:t>Anexo II – Minuta da Ata</w:t>
      </w:r>
      <w:r>
        <w:rPr>
          <w:rFonts w:cs="Arial" w:ascii="Verdana" w:hAnsi="Verdana"/>
          <w:color w:val="000000" w:themeColor="text1"/>
          <w:sz w:val="20"/>
          <w:szCs w:val="20"/>
        </w:rPr>
        <w:t>.</w:t>
      </w:r>
    </w:p>
    <w:p>
      <w:pPr>
        <w:pStyle w:val="Nivel01"/>
        <w:spacing w:lineRule="auto" w:line="276" w:before="227" w:after="113"/>
        <w:ind w:left="0" w:right="0" w:hanging="0"/>
        <w:rPr/>
      </w:pPr>
      <w:r>
        <w:rPr>
          <w:rFonts w:cs="Arial" w:ascii="Verdana" w:hAnsi="Verdana"/>
        </w:rPr>
        <w:t>17. DO RECEBIMENTO DO OBJETO E DA FISCALIZAÇÃO</w:t>
      </w:r>
    </w:p>
    <w:p>
      <w:pPr>
        <w:pStyle w:val="ListParagraph"/>
        <w:spacing w:lineRule="auto" w:line="276" w:before="113" w:after="113"/>
        <w:ind w:left="0" w:right="0" w:hanging="0"/>
        <w:contextualSpacing w:val="false"/>
        <w:jc w:val="both"/>
        <w:rPr/>
      </w:pPr>
      <w:r>
        <w:rPr>
          <w:rFonts w:cs="Arial" w:ascii="Verdana" w:hAnsi="Verdana"/>
          <w:b w:val="false"/>
          <w:bCs w:val="false"/>
          <w:color w:val="000000"/>
          <w:sz w:val="20"/>
          <w:szCs w:val="20"/>
          <w:lang w:eastAsia="en-US"/>
        </w:rPr>
        <w:t>17.1</w:t>
      </w:r>
      <w:r>
        <w:rPr>
          <w:rFonts w:cs="Arial" w:ascii="Verdana" w:hAnsi="Verdana"/>
          <w:color w:val="000000"/>
          <w:sz w:val="20"/>
          <w:szCs w:val="20"/>
          <w:lang w:eastAsia="en-US"/>
        </w:rPr>
        <w:t xml:space="preserve"> Os critérios de recebimento e aceitação do objeto e de fiscalização estão previstos no Anexo II – Minuta da Ata.</w:t>
      </w:r>
    </w:p>
    <w:p>
      <w:pPr>
        <w:pStyle w:val="Nivel01"/>
        <w:spacing w:lineRule="auto" w:line="276" w:before="113" w:after="113"/>
        <w:ind w:left="0" w:right="0" w:hanging="0"/>
        <w:rPr/>
      </w:pPr>
      <w:r>
        <w:rPr>
          <w:rFonts w:ascii="Verdana" w:hAnsi="Verdana"/>
        </w:rPr>
        <w:t>18. DAS OBRIGAÇÕES DA CONTRATANTE E DA CONTRATADA</w:t>
      </w:r>
    </w:p>
    <w:p>
      <w:pPr>
        <w:pStyle w:val="ListParagraph"/>
        <w:spacing w:lineRule="auto" w:line="276" w:before="113" w:after="113"/>
        <w:ind w:left="0" w:right="0" w:hanging="0"/>
        <w:contextualSpacing w:val="false"/>
        <w:jc w:val="both"/>
        <w:rPr/>
      </w:pPr>
      <w:r>
        <w:rPr>
          <w:rFonts w:cs="Arial" w:ascii="Verdana" w:hAnsi="Verdana"/>
          <w:color w:val="000000"/>
          <w:sz w:val="20"/>
          <w:szCs w:val="20"/>
          <w:lang w:eastAsia="en-US"/>
        </w:rPr>
        <w:t>18.1 As obrigações da Contratante e da Contratada são as estabelecidas no Anexo II – Minuta da Ata.</w:t>
      </w:r>
    </w:p>
    <w:p>
      <w:pPr>
        <w:pStyle w:val="Nivel01"/>
        <w:spacing w:lineRule="auto" w:line="276" w:before="227" w:after="113"/>
        <w:ind w:left="0" w:right="0" w:hanging="0"/>
        <w:rPr/>
      </w:pPr>
      <w:r>
        <w:rPr>
          <w:rFonts w:ascii="Verdana" w:hAnsi="Verdana"/>
        </w:rPr>
        <w:t>19. DO PAGAMENTO</w:t>
      </w:r>
    </w:p>
    <w:p>
      <w:pPr>
        <w:pStyle w:val="ListParagraph"/>
        <w:spacing w:lineRule="auto" w:line="276" w:before="113" w:after="113"/>
        <w:ind w:left="0" w:right="0" w:hanging="0"/>
        <w:contextualSpacing w:val="false"/>
        <w:jc w:val="both"/>
        <w:rPr/>
      </w:pPr>
      <w:r>
        <w:rPr>
          <w:rFonts w:cs="Arial" w:ascii="Verdana" w:hAnsi="Verdana"/>
          <w:color w:val="000000"/>
          <w:sz w:val="20"/>
          <w:szCs w:val="20"/>
          <w:lang w:eastAsia="en-US"/>
        </w:rPr>
        <w:t>19.1 As regras acerca do pagamento são as estabelecidas no Anexo II – Minuta da Ata.</w:t>
      </w:r>
    </w:p>
    <w:p>
      <w:pPr>
        <w:pStyle w:val="Nivel01"/>
        <w:spacing w:lineRule="auto" w:line="276" w:before="227" w:after="113"/>
        <w:ind w:left="0" w:right="0" w:hanging="0"/>
        <w:rPr/>
      </w:pPr>
      <w:r>
        <w:rPr>
          <w:rFonts w:cs="Arial" w:ascii="Verdana" w:hAnsi="Verdana"/>
        </w:rPr>
        <w:t>20. DAS SANÇÕES ADMINISTRATIVAS.</w:t>
      </w:r>
    </w:p>
    <w:p>
      <w:pPr>
        <w:pStyle w:val="ListParagraph"/>
        <w:spacing w:lineRule="auto" w:line="276" w:before="113" w:after="113"/>
        <w:ind w:left="0" w:right="0" w:hanging="0"/>
        <w:contextualSpacing w:val="false"/>
        <w:jc w:val="both"/>
        <w:rPr/>
      </w:pPr>
      <w:r>
        <w:rPr>
          <w:rFonts w:cs="Arial" w:ascii="Verdana" w:hAnsi="Verdana"/>
          <w:color w:val="000000"/>
          <w:sz w:val="20"/>
          <w:szCs w:val="20"/>
          <w:shd w:fill="FFFFFF" w:val="clear"/>
        </w:rPr>
        <w:t>20</w:t>
      </w:r>
      <w:r>
        <w:rPr>
          <w:rFonts w:cs="Arial" w:ascii="Verdana" w:hAnsi="Verdana"/>
          <w:sz w:val="20"/>
          <w:szCs w:val="20"/>
          <w:shd w:fill="FFFFFF" w:val="clear"/>
        </w:rPr>
        <w:t xml:space="preserve">.1 Comete infração administrativa, nos termos da Lei nº 10.520, de 2002, o licitante/adjudicatário que: </w:t>
      </w:r>
    </w:p>
    <w:p>
      <w:pPr>
        <w:pStyle w:val="Normal"/>
        <w:tabs>
          <w:tab w:val="clear" w:pos="720"/>
          <w:tab w:val="left" w:pos="850" w:leader="none"/>
          <w:tab w:val="left" w:pos="1440" w:leader="none"/>
        </w:tabs>
        <w:snapToGrid w:val="false"/>
        <w:spacing w:lineRule="auto" w:line="276" w:before="113" w:after="113"/>
        <w:ind w:left="0" w:right="0" w:hanging="0"/>
        <w:jc w:val="both"/>
        <w:rPr/>
      </w:pPr>
      <w:r>
        <w:rPr>
          <w:rFonts w:cs="Arial" w:ascii="Verdana" w:hAnsi="Verdana"/>
          <w:color w:val="000000"/>
          <w:sz w:val="20"/>
          <w:szCs w:val="20"/>
          <w:shd w:fill="FFFFFF" w:val="clear"/>
        </w:rPr>
        <w:t>20</w:t>
      </w:r>
      <w:r>
        <w:rPr>
          <w:rFonts w:cs="Arial" w:ascii="Verdana" w:hAnsi="Verdana"/>
          <w:sz w:val="20"/>
          <w:szCs w:val="20"/>
          <w:shd w:fill="FFFFFF" w:val="clear"/>
        </w:rPr>
        <w:t>.1.1 Não assinar o termo de contrato ou aceitar/retirar o instrumento equivalente, quando convocado dentro do prazo de validade da proposta;</w:t>
      </w:r>
    </w:p>
    <w:p>
      <w:pPr>
        <w:pStyle w:val="Normal"/>
        <w:tabs>
          <w:tab w:val="clear" w:pos="720"/>
          <w:tab w:val="left" w:pos="850" w:leader="none"/>
          <w:tab w:val="left" w:pos="1440" w:leader="none"/>
        </w:tabs>
        <w:snapToGrid w:val="false"/>
        <w:spacing w:lineRule="auto" w:line="276" w:before="113" w:after="113"/>
        <w:ind w:left="0" w:right="0" w:hanging="0"/>
        <w:jc w:val="both"/>
        <w:rPr/>
      </w:pPr>
      <w:r>
        <w:rPr>
          <w:rFonts w:cs="Arial" w:ascii="Verdana" w:hAnsi="Verdana"/>
          <w:color w:val="000000"/>
          <w:sz w:val="20"/>
          <w:szCs w:val="20"/>
          <w:shd w:fill="FFFFFF" w:val="clear"/>
        </w:rPr>
        <w:t>20</w:t>
      </w:r>
      <w:r>
        <w:rPr>
          <w:rFonts w:cs="Arial" w:ascii="Verdana" w:hAnsi="Verdana"/>
          <w:sz w:val="20"/>
          <w:szCs w:val="20"/>
          <w:shd w:fill="FFFFFF" w:val="clear"/>
        </w:rPr>
        <w:t>.1.2 Não assinar a ata de registro de preços, quando cabível;</w:t>
      </w:r>
    </w:p>
    <w:p>
      <w:pPr>
        <w:pStyle w:val="Normal"/>
        <w:tabs>
          <w:tab w:val="clear" w:pos="720"/>
          <w:tab w:val="left" w:pos="850" w:leader="none"/>
          <w:tab w:val="left" w:pos="1440" w:leader="none"/>
        </w:tabs>
        <w:snapToGrid w:val="false"/>
        <w:spacing w:lineRule="auto" w:line="276" w:before="113" w:after="113"/>
        <w:ind w:left="0" w:right="0" w:hanging="0"/>
        <w:jc w:val="both"/>
        <w:rPr/>
      </w:pPr>
      <w:r>
        <w:rPr>
          <w:rFonts w:cs="Arial" w:ascii="Verdana" w:hAnsi="Verdana"/>
          <w:color w:val="000000"/>
          <w:sz w:val="20"/>
          <w:szCs w:val="20"/>
          <w:shd w:fill="FFFFFF" w:val="clear"/>
        </w:rPr>
        <w:t>20</w:t>
      </w:r>
      <w:r>
        <w:rPr>
          <w:rFonts w:cs="Arial" w:ascii="Verdana" w:hAnsi="Verdana"/>
          <w:sz w:val="20"/>
          <w:szCs w:val="20"/>
          <w:shd w:fill="FFFFFF" w:val="clear"/>
        </w:rPr>
        <w:t>.1.3 Apresentar documentação falsa;</w:t>
      </w:r>
    </w:p>
    <w:p>
      <w:pPr>
        <w:pStyle w:val="Normal"/>
        <w:tabs>
          <w:tab w:val="clear" w:pos="720"/>
          <w:tab w:val="left" w:pos="850" w:leader="none"/>
          <w:tab w:val="left" w:pos="1440" w:leader="none"/>
        </w:tabs>
        <w:snapToGrid w:val="false"/>
        <w:spacing w:lineRule="auto" w:line="276" w:before="113" w:after="113"/>
        <w:ind w:left="0" w:right="0" w:hanging="0"/>
        <w:jc w:val="both"/>
        <w:rPr/>
      </w:pPr>
      <w:r>
        <w:rPr>
          <w:rFonts w:cs="Arial" w:ascii="Verdana" w:hAnsi="Verdana"/>
          <w:color w:val="000000"/>
          <w:sz w:val="20"/>
          <w:szCs w:val="20"/>
          <w:shd w:fill="FFFFFF" w:val="clear"/>
        </w:rPr>
        <w:t>20</w:t>
      </w:r>
      <w:r>
        <w:rPr>
          <w:rFonts w:cs="Arial" w:ascii="Verdana" w:hAnsi="Verdana"/>
          <w:sz w:val="20"/>
          <w:szCs w:val="20"/>
          <w:shd w:fill="FFFFFF" w:val="clear"/>
        </w:rPr>
        <w:t>.1.4 Deixar de entregar os documentos exigidos no certame;</w:t>
      </w:r>
    </w:p>
    <w:p>
      <w:pPr>
        <w:pStyle w:val="Normal"/>
        <w:tabs>
          <w:tab w:val="clear" w:pos="720"/>
          <w:tab w:val="left" w:pos="850" w:leader="none"/>
          <w:tab w:val="left" w:pos="1440" w:leader="none"/>
        </w:tabs>
        <w:snapToGrid w:val="false"/>
        <w:spacing w:lineRule="auto" w:line="276" w:before="113" w:after="113"/>
        <w:ind w:left="0" w:right="0" w:hanging="0"/>
        <w:jc w:val="both"/>
        <w:rPr/>
      </w:pPr>
      <w:r>
        <w:rPr>
          <w:rFonts w:cs="Arial" w:ascii="Verdana" w:hAnsi="Verdana"/>
          <w:color w:val="000000"/>
          <w:sz w:val="20"/>
          <w:szCs w:val="20"/>
          <w:shd w:fill="FFFFFF" w:val="clear"/>
        </w:rPr>
        <w:t>20</w:t>
      </w:r>
      <w:r>
        <w:rPr>
          <w:rFonts w:cs="Arial" w:ascii="Verdana" w:hAnsi="Verdana"/>
          <w:sz w:val="20"/>
          <w:szCs w:val="20"/>
        </w:rPr>
        <w:t>.1.5 Ensejar o retardamento da execução do objeto;</w:t>
      </w:r>
    </w:p>
    <w:p>
      <w:pPr>
        <w:pStyle w:val="Normal"/>
        <w:tabs>
          <w:tab w:val="clear" w:pos="720"/>
          <w:tab w:val="left" w:pos="850" w:leader="none"/>
          <w:tab w:val="left" w:pos="1440" w:leader="none"/>
        </w:tabs>
        <w:snapToGrid w:val="false"/>
        <w:spacing w:lineRule="auto" w:line="276" w:before="113" w:after="113"/>
        <w:ind w:left="0" w:right="0" w:hanging="0"/>
        <w:jc w:val="both"/>
        <w:rPr/>
      </w:pPr>
      <w:r>
        <w:rPr>
          <w:rFonts w:cs="Arial" w:ascii="Verdana" w:hAnsi="Verdana"/>
          <w:color w:val="000000"/>
          <w:sz w:val="20"/>
          <w:szCs w:val="20"/>
          <w:shd w:fill="FFFFFF" w:val="clear"/>
        </w:rPr>
        <w:t>20</w:t>
      </w:r>
      <w:r>
        <w:rPr>
          <w:rFonts w:cs="Arial" w:ascii="Verdana" w:hAnsi="Verdana"/>
          <w:sz w:val="20"/>
          <w:szCs w:val="20"/>
          <w:shd w:fill="FFFFFF" w:val="clear"/>
        </w:rPr>
        <w:t>.1.6 Não mantiver a proposta;</w:t>
      </w:r>
    </w:p>
    <w:p>
      <w:pPr>
        <w:pStyle w:val="Normal"/>
        <w:tabs>
          <w:tab w:val="clear" w:pos="720"/>
          <w:tab w:val="left" w:pos="850" w:leader="none"/>
          <w:tab w:val="left" w:pos="1440" w:leader="none"/>
        </w:tabs>
        <w:snapToGrid w:val="false"/>
        <w:spacing w:lineRule="auto" w:line="276" w:before="113" w:after="113"/>
        <w:ind w:left="0" w:right="0" w:hanging="0"/>
        <w:jc w:val="both"/>
        <w:rPr/>
      </w:pPr>
      <w:r>
        <w:rPr>
          <w:rFonts w:cs="Arial" w:ascii="Verdana" w:hAnsi="Verdana"/>
          <w:color w:val="000000"/>
          <w:sz w:val="20"/>
          <w:szCs w:val="20"/>
          <w:shd w:fill="FFFFFF" w:val="clear"/>
        </w:rPr>
        <w:t>20</w:t>
      </w:r>
      <w:r>
        <w:rPr>
          <w:rFonts w:cs="Arial" w:ascii="Verdana" w:hAnsi="Verdana"/>
          <w:sz w:val="20"/>
          <w:szCs w:val="20"/>
          <w:shd w:fill="FFFFFF" w:val="clear"/>
        </w:rPr>
        <w:t>.1.7 Cometer fraude fiscal;</w:t>
      </w:r>
    </w:p>
    <w:p>
      <w:pPr>
        <w:pStyle w:val="Normal"/>
        <w:tabs>
          <w:tab w:val="clear" w:pos="720"/>
          <w:tab w:val="left" w:pos="850" w:leader="none"/>
          <w:tab w:val="left" w:pos="1440" w:leader="none"/>
        </w:tabs>
        <w:snapToGrid w:val="false"/>
        <w:spacing w:lineRule="auto" w:line="276" w:before="113" w:after="113"/>
        <w:ind w:left="0" w:right="0" w:hanging="0"/>
        <w:jc w:val="both"/>
        <w:rPr/>
      </w:pPr>
      <w:r>
        <w:rPr>
          <w:rFonts w:cs="Arial" w:ascii="Verdana" w:hAnsi="Verdana"/>
          <w:color w:val="000000"/>
          <w:sz w:val="20"/>
          <w:szCs w:val="20"/>
          <w:shd w:fill="FFFFFF" w:val="clear"/>
        </w:rPr>
        <w:t>20</w:t>
      </w:r>
      <w:r>
        <w:rPr>
          <w:rFonts w:cs="Arial" w:ascii="Verdana" w:hAnsi="Verdana"/>
          <w:sz w:val="20"/>
          <w:szCs w:val="20"/>
          <w:shd w:fill="FFFFFF" w:val="clear"/>
        </w:rPr>
        <w:t>.1.8 Comportar-se de modo inidôneo;</w:t>
      </w:r>
    </w:p>
    <w:p>
      <w:pPr>
        <w:pStyle w:val="Normal"/>
        <w:spacing w:lineRule="auto" w:line="276" w:before="113" w:after="113"/>
        <w:ind w:left="0" w:right="0" w:hanging="0"/>
        <w:jc w:val="both"/>
        <w:rPr/>
      </w:pPr>
      <w:r>
        <w:rPr>
          <w:rFonts w:cs="Arial" w:ascii="Verdana" w:hAnsi="Verdana"/>
          <w:color w:val="000000"/>
          <w:sz w:val="20"/>
          <w:szCs w:val="20"/>
          <w:shd w:fill="FFFFFF" w:val="clear"/>
        </w:rPr>
        <w:t>20</w:t>
      </w:r>
      <w:r>
        <w:rPr>
          <w:rFonts w:cs="Arial" w:ascii="Verdana" w:hAnsi="Verdana"/>
          <w:color w:val="000000"/>
          <w:sz w:val="20"/>
          <w:szCs w:val="20"/>
        </w:rPr>
        <w:t>.2 As sanções do item acima também se aplicam aos integrantes do cadastro de reserva, em pregão para registro de preços que, convocados, não honrarem o compromisso assumido injustificadamente.</w:t>
      </w:r>
    </w:p>
    <w:p>
      <w:pPr>
        <w:pStyle w:val="Normal"/>
        <w:spacing w:lineRule="auto" w:line="276" w:before="113" w:after="113"/>
        <w:ind w:left="0" w:right="0" w:hanging="0"/>
        <w:jc w:val="both"/>
        <w:rPr/>
      </w:pPr>
      <w:r>
        <w:rPr>
          <w:rFonts w:cs="Arial" w:ascii="Verdana" w:hAnsi="Verdana"/>
          <w:color w:val="000000"/>
          <w:sz w:val="20"/>
          <w:szCs w:val="20"/>
          <w:shd w:fill="FFFFFF" w:val="clear"/>
        </w:rPr>
        <w:t>20</w:t>
      </w:r>
      <w:r>
        <w:rPr>
          <w:rFonts w:cs="Arial" w:ascii="Verdana" w:hAnsi="Verdana"/>
          <w:sz w:val="20"/>
          <w:szCs w:val="20"/>
          <w:shd w:fill="FFFFFF" w:val="clear"/>
        </w:rPr>
        <w:t>.3 Considera-se comportamento inidôneo, entre outros, a declaração falsa quanto às condições de participação, quanto ao enquadramento como ME/EPP ou o conluio entre os licitantes, em qualquer momento da licitação, mesmo após o encerramento da fase de lances.</w:t>
      </w:r>
    </w:p>
    <w:p>
      <w:pPr>
        <w:pStyle w:val="Normal"/>
        <w:spacing w:lineRule="auto" w:line="276" w:before="113" w:after="113"/>
        <w:ind w:left="0" w:right="0" w:hanging="0"/>
        <w:jc w:val="both"/>
        <w:rPr/>
      </w:pPr>
      <w:r>
        <w:rPr>
          <w:rFonts w:cs="Arial" w:ascii="Verdana" w:hAnsi="Verdana"/>
          <w:color w:val="000000"/>
          <w:sz w:val="20"/>
          <w:szCs w:val="20"/>
          <w:shd w:fill="FFFFFF" w:val="clear"/>
        </w:rPr>
        <w:t>20</w:t>
      </w:r>
      <w:r>
        <w:rPr>
          <w:rFonts w:cs="Arial" w:ascii="Verdana" w:hAnsi="Verdana"/>
          <w:sz w:val="20"/>
          <w:szCs w:val="20"/>
          <w:shd w:fill="FFFFFF" w:val="clear"/>
        </w:rPr>
        <w:t xml:space="preserve">.4 O licitante/adjudicatário que cometer qualquer das infrações discriminadas nos subitens anteriores ficará sujeito, sem prejuízo da responsabilidade civil e criminal, às seguintes sanções: </w:t>
      </w:r>
    </w:p>
    <w:p>
      <w:pPr>
        <w:pStyle w:val="ListParagraph"/>
        <w:spacing w:lineRule="auto" w:line="276" w:before="113" w:after="113"/>
        <w:ind w:left="0" w:right="0" w:hanging="0"/>
        <w:contextualSpacing w:val="false"/>
        <w:jc w:val="both"/>
        <w:rPr/>
      </w:pPr>
      <w:r>
        <w:rPr>
          <w:rFonts w:cs="Arial" w:ascii="Verdana" w:hAnsi="Verdana"/>
          <w:color w:val="000000"/>
          <w:sz w:val="20"/>
          <w:szCs w:val="20"/>
          <w:shd w:fill="FFFFFF" w:val="clear"/>
        </w:rPr>
        <w:t>20</w:t>
      </w:r>
      <w:r>
        <w:rPr>
          <w:rFonts w:cs="Arial" w:ascii="Verdana" w:hAnsi="Verdana"/>
          <w:sz w:val="20"/>
          <w:szCs w:val="20"/>
          <w:shd w:fill="FFFFFF" w:val="clear"/>
        </w:rPr>
        <w:t>.4.1 Advertência por faltas leves, assim entendidas como aquelas que não acarretarem prejuízos significativos ao objeto da contratação;</w:t>
      </w:r>
    </w:p>
    <w:p>
      <w:pPr>
        <w:pStyle w:val="ListParagraph"/>
        <w:spacing w:lineRule="auto" w:line="276" w:before="113" w:after="113"/>
        <w:ind w:left="0" w:right="0" w:hanging="0"/>
        <w:contextualSpacing w:val="false"/>
        <w:jc w:val="both"/>
        <w:rPr/>
      </w:pPr>
      <w:r>
        <w:rPr>
          <w:rFonts w:cs="Arial" w:ascii="Verdana" w:hAnsi="Verdana"/>
          <w:color w:val="000000"/>
          <w:sz w:val="20"/>
          <w:szCs w:val="20"/>
          <w:shd w:fill="FFFFFF" w:val="clear"/>
        </w:rPr>
        <w:t>20</w:t>
      </w:r>
      <w:r>
        <w:rPr>
          <w:rFonts w:cs="Arial" w:ascii="Verdana" w:hAnsi="Verdana"/>
          <w:sz w:val="20"/>
          <w:szCs w:val="20"/>
          <w:shd w:fill="FFFFFF" w:val="clear"/>
        </w:rPr>
        <w:t>.4.2 Multa de 10% (dez por cento) sobre o valor estimado do(s) item(s) prejudicado(s) pela conduta do licitante;</w:t>
      </w:r>
    </w:p>
    <w:p>
      <w:pPr>
        <w:pStyle w:val="ListParagraph"/>
        <w:spacing w:lineRule="auto" w:line="276" w:before="113" w:after="113"/>
        <w:ind w:left="0" w:right="0" w:hanging="0"/>
        <w:contextualSpacing w:val="false"/>
        <w:jc w:val="both"/>
        <w:rPr/>
      </w:pPr>
      <w:r>
        <w:rPr>
          <w:rFonts w:cs="Arial" w:ascii="Verdana" w:hAnsi="Verdana"/>
          <w:color w:val="000000"/>
          <w:sz w:val="20"/>
          <w:szCs w:val="20"/>
          <w:shd w:fill="FFFFFF" w:val="clear"/>
        </w:rPr>
        <w:t>20</w:t>
      </w:r>
      <w:r>
        <w:rPr>
          <w:rFonts w:cs="Arial" w:ascii="Verdana" w:hAnsi="Verdana"/>
          <w:sz w:val="20"/>
          <w:szCs w:val="20"/>
          <w:shd w:fill="FFFFFF" w:val="clear"/>
        </w:rPr>
        <w:t xml:space="preserve">.4.3 </w:t>
      </w:r>
      <w:r>
        <w:rPr>
          <w:rFonts w:cs="Arial" w:ascii="Verdana" w:hAnsi="Verdana"/>
          <w:color w:val="000000"/>
          <w:sz w:val="20"/>
          <w:szCs w:val="20"/>
          <w:shd w:fill="FFFFFF" w:val="clear"/>
        </w:rPr>
        <w:t>Suspensão de licitar e impedimento de contratar com o órgão, entidade ou unidade administrativa pela qual a Administração Pública opera e atua concretamente, pelo prazo de até dois anos;</w:t>
      </w:r>
    </w:p>
    <w:p>
      <w:pPr>
        <w:pStyle w:val="ListParagraph"/>
        <w:spacing w:lineRule="auto" w:line="276" w:before="113" w:after="113"/>
        <w:ind w:left="0" w:right="0" w:hanging="0"/>
        <w:contextualSpacing w:val="false"/>
        <w:jc w:val="both"/>
        <w:rPr/>
      </w:pPr>
      <w:r>
        <w:rPr>
          <w:rFonts w:cs="Arial" w:ascii="Verdana" w:hAnsi="Verdana"/>
          <w:color w:val="000000"/>
          <w:sz w:val="20"/>
          <w:szCs w:val="20"/>
          <w:shd w:fill="FFFFFF" w:val="clear"/>
        </w:rPr>
        <w:t>20.4.5 Impedimento de licitar e de contratar com a União e descredenciamento no SICAF, pelo prazo de até cinco anos;</w:t>
      </w:r>
    </w:p>
    <w:p>
      <w:pPr>
        <w:pStyle w:val="ListParagraph"/>
        <w:spacing w:lineRule="auto" w:line="276" w:before="113" w:after="113"/>
        <w:ind w:left="0" w:right="0" w:hanging="0"/>
        <w:contextualSpacing w:val="false"/>
        <w:jc w:val="both"/>
        <w:rPr/>
      </w:pPr>
      <w:r>
        <w:rPr>
          <w:rFonts w:cs="Arial" w:ascii="Verdana" w:hAnsi="Verdana"/>
          <w:color w:val="000000"/>
          <w:sz w:val="20"/>
          <w:szCs w:val="20"/>
          <w:shd w:fill="FFFFFF" w:val="clear"/>
        </w:rPr>
        <w:t>20.5 Declaração de inidoneidade para licitar ou contratar com a Administração Pública, enquanto perdurarem os motivos determinantes da punição ou até que seja promovida</w:t>
      </w:r>
      <w:r>
        <w:rPr>
          <w:rFonts w:cs="Arial" w:ascii="Verdana" w:hAnsi="Verdana"/>
          <w:sz w:val="20"/>
          <w:szCs w:val="20"/>
          <w:shd w:fill="FFFFFF" w:val="clear"/>
        </w:rPr>
        <w:t xml:space="preserve"> a reabilitação perante a própria autoridade que aplicou a penalidade, que será concedida sempre que a Contratada ressarcir a Contratante pelos prejuízos causados;</w:t>
      </w:r>
    </w:p>
    <w:p>
      <w:pPr>
        <w:pStyle w:val="ListParagraph"/>
        <w:spacing w:lineRule="auto" w:line="276" w:before="113" w:after="113"/>
        <w:ind w:left="0" w:right="0" w:hanging="0"/>
        <w:contextualSpacing w:val="false"/>
        <w:jc w:val="both"/>
        <w:rPr/>
      </w:pPr>
      <w:r>
        <w:rPr>
          <w:rFonts w:cs="Arial" w:ascii="Verdana" w:hAnsi="Verdana"/>
          <w:color w:val="000000"/>
          <w:sz w:val="20"/>
          <w:szCs w:val="20"/>
          <w:shd w:fill="FFFFFF" w:val="clear"/>
        </w:rPr>
        <w:t>20</w:t>
      </w:r>
      <w:r>
        <w:rPr>
          <w:rFonts w:cs="Arial" w:ascii="Verdana" w:hAnsi="Verdana"/>
          <w:sz w:val="20"/>
          <w:szCs w:val="20"/>
          <w:shd w:fill="FFFFFF" w:val="clear"/>
        </w:rPr>
        <w:t>.6 A penalidade de multa pode ser aplicada cumulativamente com as demais sanções.</w:t>
      </w:r>
    </w:p>
    <w:p>
      <w:pPr>
        <w:pStyle w:val="ListParagraph"/>
        <w:spacing w:lineRule="auto" w:line="276" w:before="113" w:after="113"/>
        <w:ind w:left="0" w:right="0" w:hanging="0"/>
        <w:contextualSpacing w:val="false"/>
        <w:jc w:val="both"/>
        <w:rPr/>
      </w:pPr>
      <w:r>
        <w:rPr>
          <w:rFonts w:cs="Arial" w:ascii="Verdana" w:hAnsi="Verdana"/>
          <w:color w:val="000000"/>
          <w:sz w:val="20"/>
          <w:szCs w:val="20"/>
          <w:shd w:fill="FFFFFF" w:val="clear"/>
        </w:rPr>
        <w:t>20</w:t>
      </w:r>
      <w:r>
        <w:rPr>
          <w:rFonts w:cs="Arial" w:ascii="Verdana" w:hAnsi="Verdana"/>
          <w:sz w:val="20"/>
          <w:szCs w:val="20"/>
          <w:shd w:fill="FFFFFF" w:val="clear"/>
        </w:rPr>
        <w:t>.7 Se, durante o processo de aplicação de penalidade, se houver indícios de prática de infração administrativa tipificada pela Lei nº 12.846, de 1º de agosto de 2013, como ato lesivo à administração pública nacional ou estrangeira, cópias dos processos administrativos necessários à apuração da responsabilidade da empresa deverão ser remetidas à autoridade competente, com despacho fundamentado, para ciência e decisão sobre a eventual instauração de investigação preliminar ou Processo Administrativo de Responsabilização – PAR.</w:t>
      </w:r>
    </w:p>
    <w:p>
      <w:pPr>
        <w:pStyle w:val="ListParagraph"/>
        <w:spacing w:lineRule="auto" w:line="276" w:before="113" w:after="113"/>
        <w:ind w:left="0" w:right="0" w:hanging="0"/>
        <w:contextualSpacing w:val="false"/>
        <w:jc w:val="both"/>
        <w:rPr/>
      </w:pPr>
      <w:r>
        <w:rPr>
          <w:rFonts w:cs="Arial" w:ascii="Verdana" w:hAnsi="Verdana"/>
          <w:color w:val="000000"/>
          <w:sz w:val="20"/>
          <w:szCs w:val="20"/>
          <w:shd w:fill="FFFFFF" w:val="clear"/>
        </w:rPr>
        <w:t>20</w:t>
      </w:r>
      <w:r>
        <w:rPr>
          <w:rFonts w:cs="Arial" w:ascii="Verdana" w:hAnsi="Verdana"/>
          <w:sz w:val="20"/>
          <w:szCs w:val="20"/>
          <w:shd w:fill="FFFFFF" w:val="clear"/>
        </w:rPr>
        <w:t>.8 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ListParagraph"/>
        <w:spacing w:lineRule="auto" w:line="276" w:before="113" w:after="113"/>
        <w:ind w:left="0" w:right="0" w:hanging="0"/>
        <w:contextualSpacing w:val="false"/>
        <w:jc w:val="both"/>
        <w:rPr/>
      </w:pPr>
      <w:r>
        <w:rPr>
          <w:rFonts w:cs="Arial" w:ascii="Verdana" w:hAnsi="Verdana"/>
          <w:color w:val="000000"/>
          <w:sz w:val="20"/>
          <w:szCs w:val="20"/>
          <w:shd w:fill="FFFFFF" w:val="clear"/>
        </w:rPr>
        <w:t>20</w:t>
      </w:r>
      <w:r>
        <w:rPr>
          <w:rFonts w:cs="Arial" w:ascii="Verdana" w:hAnsi="Verdana"/>
          <w:sz w:val="20"/>
          <w:szCs w:val="20"/>
          <w:shd w:fill="FFFFFF" w:val="clear"/>
        </w:rPr>
        <w:t xml:space="preserve">.9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ListParagraph"/>
        <w:spacing w:lineRule="auto" w:line="276" w:before="113" w:after="113"/>
        <w:ind w:left="0" w:right="0" w:hanging="0"/>
        <w:contextualSpacing w:val="false"/>
        <w:jc w:val="both"/>
        <w:rPr/>
      </w:pPr>
      <w:r>
        <w:rPr>
          <w:rFonts w:cs="Arial" w:ascii="Verdana" w:hAnsi="Verdana"/>
          <w:color w:val="000000"/>
          <w:sz w:val="20"/>
          <w:szCs w:val="20"/>
          <w:shd w:fill="FFFFFF" w:val="clear"/>
        </w:rPr>
        <w:t>20</w:t>
      </w:r>
      <w:r>
        <w:rPr>
          <w:rFonts w:cs="Arial" w:ascii="Verdana" w:hAnsi="Verdana"/>
          <w:sz w:val="20"/>
          <w:szCs w:val="20"/>
          <w:shd w:fill="FFFFFF" w:val="clear"/>
        </w:rPr>
        <w:t xml:space="preserve">.10 Caso o valor da multa não seja suficiente para cobrir os prejuízos causados pela conduta do licitante, a </w:t>
      </w:r>
      <w:r>
        <w:rPr>
          <w:rFonts w:cs="Arial" w:ascii="Verdana" w:hAnsi="Verdana"/>
          <w:color w:val="000000"/>
          <w:sz w:val="20"/>
          <w:szCs w:val="20"/>
          <w:shd w:fill="FFFFFF" w:val="clear"/>
        </w:rPr>
        <w:t>Prefeitura Municipal de São Gabriel da Palha/ES</w:t>
      </w:r>
      <w:r>
        <w:rPr>
          <w:rFonts w:cs="Arial" w:ascii="Verdana" w:hAnsi="Verdana"/>
          <w:sz w:val="20"/>
          <w:szCs w:val="20"/>
          <w:shd w:fill="FFFFFF" w:val="clear"/>
        </w:rPr>
        <w:t xml:space="preserve"> poderá cobrar o valor remanescente judicialmente, conforme artigo 419 do Código Civil.</w:t>
      </w:r>
    </w:p>
    <w:p>
      <w:pPr>
        <w:pStyle w:val="ListParagraph"/>
        <w:spacing w:lineRule="auto" w:line="276" w:before="113" w:after="113"/>
        <w:ind w:left="0" w:right="0" w:hanging="0"/>
        <w:contextualSpacing w:val="false"/>
        <w:jc w:val="both"/>
        <w:rPr/>
      </w:pPr>
      <w:r>
        <w:rPr>
          <w:rFonts w:cs="Arial" w:ascii="Verdana" w:hAnsi="Verdana"/>
          <w:color w:val="000000"/>
          <w:sz w:val="20"/>
          <w:szCs w:val="20"/>
          <w:shd w:fill="FFFFFF" w:val="clear"/>
        </w:rPr>
        <w:t>20</w:t>
      </w:r>
      <w:r>
        <w:rPr>
          <w:rFonts w:cs="Arial" w:ascii="Verdana" w:hAnsi="Verdana"/>
          <w:sz w:val="20"/>
          <w:szCs w:val="20"/>
          <w:shd w:fill="FFFFFF" w:val="clear"/>
        </w:rPr>
        <w:t>.11 A aplicação de qualquer das penalidades previstas realizar-se-á em processo administrativo que assegurará o contraditório e a ampla defesa ao licitante/adjudicatário, observando-se o procedimento previsto na Lei nº 8.666, de 16 de fevereiro de 1993.</w:t>
      </w:r>
    </w:p>
    <w:p>
      <w:pPr>
        <w:pStyle w:val="ListParagraph"/>
        <w:spacing w:lineRule="auto" w:line="276" w:before="113" w:after="113"/>
        <w:ind w:left="0" w:right="0" w:hanging="0"/>
        <w:contextualSpacing w:val="false"/>
        <w:jc w:val="both"/>
        <w:rPr/>
      </w:pPr>
      <w:r>
        <w:rPr>
          <w:rFonts w:cs="Arial" w:ascii="Verdana" w:hAnsi="Verdana"/>
          <w:color w:val="000000"/>
          <w:sz w:val="20"/>
          <w:szCs w:val="20"/>
          <w:shd w:fill="FFFFFF" w:val="clear"/>
        </w:rPr>
        <w:t>20</w:t>
      </w:r>
      <w:r>
        <w:rPr>
          <w:rFonts w:cs="Arial" w:ascii="Verdana" w:hAnsi="Verdana"/>
          <w:sz w:val="20"/>
          <w:szCs w:val="20"/>
          <w:shd w:fill="FFFFFF" w:val="clear"/>
        </w:rPr>
        <w:t>.12 A autoridade competente, na aplicação das sanções, levará em consideração a gravidade da conduta do infrator, o caráter educativo da pena, bem como o dano causado à Administração, observado o princípio da proporcionalidade.</w:t>
      </w:r>
    </w:p>
    <w:p>
      <w:pPr>
        <w:pStyle w:val="ListParagraph"/>
        <w:spacing w:lineRule="auto" w:line="276" w:before="113" w:after="113"/>
        <w:ind w:left="0" w:right="0" w:hanging="0"/>
        <w:contextualSpacing w:val="false"/>
        <w:jc w:val="both"/>
        <w:rPr/>
      </w:pPr>
      <w:r>
        <w:rPr>
          <w:rFonts w:cs="Arial" w:ascii="Verdana" w:hAnsi="Verdana"/>
          <w:color w:val="000000"/>
          <w:sz w:val="20"/>
          <w:szCs w:val="20"/>
          <w:shd w:fill="FFFFFF" w:val="clear"/>
        </w:rPr>
        <w:t>20</w:t>
      </w:r>
      <w:r>
        <w:rPr>
          <w:rFonts w:cs="Arial" w:ascii="Verdana" w:hAnsi="Verdana"/>
          <w:sz w:val="20"/>
          <w:szCs w:val="20"/>
          <w:shd w:fill="FFFFFF" w:val="clear"/>
        </w:rPr>
        <w:t>.13 As penalidades serão obrigatoriamente registradas no SICAF.</w:t>
      </w:r>
    </w:p>
    <w:p>
      <w:pPr>
        <w:pStyle w:val="ListParagraph"/>
        <w:spacing w:lineRule="auto" w:line="276" w:before="113" w:after="113"/>
        <w:ind w:left="0" w:right="0" w:hanging="0"/>
        <w:contextualSpacing w:val="false"/>
        <w:jc w:val="both"/>
        <w:rPr/>
      </w:pPr>
      <w:r>
        <w:rPr>
          <w:rFonts w:cs="Arial" w:ascii="Verdana" w:hAnsi="Verdana"/>
          <w:color w:val="000000"/>
          <w:sz w:val="20"/>
          <w:szCs w:val="20"/>
          <w:shd w:fill="FFFFFF" w:val="clear"/>
        </w:rPr>
        <w:t>20</w:t>
      </w:r>
      <w:r>
        <w:rPr>
          <w:rFonts w:cs="Arial" w:ascii="Verdana" w:hAnsi="Verdana"/>
          <w:sz w:val="20"/>
          <w:szCs w:val="20"/>
          <w:shd w:fill="FFFFFF" w:val="clear"/>
        </w:rPr>
        <w:t>.14 As sanções por atos praticados no decorrer da contratação estão previstas no ANEXO II – Minuta da Ata.</w:t>
      </w:r>
    </w:p>
    <w:p>
      <w:pPr>
        <w:pStyle w:val="Nivel01"/>
        <w:spacing w:lineRule="auto" w:line="276" w:before="227" w:after="113"/>
        <w:ind w:left="0" w:right="0" w:hanging="0"/>
        <w:rPr/>
      </w:pPr>
      <w:r>
        <w:rPr>
          <w:rFonts w:ascii="Verdana" w:hAnsi="Verdana"/>
        </w:rPr>
        <w:t xml:space="preserve">21. DA FORMAÇÃO DO CADASTRO DE RESERVA </w:t>
      </w:r>
    </w:p>
    <w:p>
      <w:pPr>
        <w:pStyle w:val="ListParagraph"/>
        <w:spacing w:lineRule="auto" w:line="276" w:before="113" w:after="113"/>
        <w:ind w:left="0" w:right="0" w:hanging="0"/>
        <w:contextualSpacing w:val="false"/>
        <w:jc w:val="both"/>
        <w:rPr/>
      </w:pPr>
      <w:r>
        <w:rPr>
          <w:rFonts w:cs="Arial" w:ascii="Verdana" w:hAnsi="Verdana"/>
          <w:iCs/>
          <w:sz w:val="20"/>
          <w:szCs w:val="20"/>
        </w:rPr>
        <w:t>21.1 Após o encerramento da etapa competitiva, os licitantes poderão reduzir seus preços ao valor da proposta do licitante mais bem classificado.</w:t>
      </w:r>
    </w:p>
    <w:p>
      <w:pPr>
        <w:pStyle w:val="Normal"/>
        <w:spacing w:lineRule="auto" w:line="276" w:before="113" w:after="113"/>
        <w:ind w:left="0" w:right="0" w:hanging="0"/>
        <w:jc w:val="both"/>
        <w:rPr/>
      </w:pPr>
      <w:r>
        <w:rPr>
          <w:rFonts w:cs="Arial" w:ascii="Verdana" w:hAnsi="Verdana"/>
          <w:iCs/>
          <w:sz w:val="20"/>
          <w:szCs w:val="20"/>
        </w:rPr>
        <w:t>21.2 A apresentação de novas propostas na forma deste item não prejudicará o resultado do certame em relação ao licitante melhor classificado.</w:t>
      </w:r>
    </w:p>
    <w:p>
      <w:pPr>
        <w:pStyle w:val="Normal"/>
        <w:spacing w:lineRule="auto" w:line="276" w:before="113" w:after="113"/>
        <w:ind w:left="0" w:right="0" w:hanging="0"/>
        <w:jc w:val="both"/>
        <w:rPr/>
      </w:pPr>
      <w:r>
        <w:rPr>
          <w:rFonts w:cs="Arial" w:ascii="Verdana" w:hAnsi="Verdana"/>
          <w:iCs/>
          <w:sz w:val="20"/>
          <w:szCs w:val="20"/>
        </w:rPr>
        <w:t>21.3 Havendo um ou mais licitantes que aceitem cotar suas propostas em valor igual ao do licitante vencedor, estes serão classificados segundo a ordem da última proposta individual apresentada durante a fase competitiva.</w:t>
      </w:r>
    </w:p>
    <w:p>
      <w:pPr>
        <w:pStyle w:val="Normal"/>
        <w:spacing w:lineRule="auto" w:line="276" w:before="113" w:after="113"/>
        <w:ind w:left="0" w:right="0" w:hanging="0"/>
        <w:jc w:val="both"/>
        <w:rPr/>
      </w:pPr>
      <w:r>
        <w:rPr>
          <w:rFonts w:cs="Arial" w:ascii="Verdana" w:hAnsi="Verdana"/>
          <w:iCs/>
          <w:sz w:val="20"/>
          <w:szCs w:val="20"/>
        </w:rPr>
        <w:t>21.4 Esta ordem de classificação dos licitantes registrados deverá ser respeitada nas contratações e somente será utilizada acaso o melhor colocado no certame não assine a ata ou tenha seu registro cancelado nas hipóteses previstas nos artigos 20 do Decreto n° 441/2014.</w:t>
      </w:r>
    </w:p>
    <w:p>
      <w:pPr>
        <w:pStyle w:val="Nivel01"/>
        <w:spacing w:lineRule="auto" w:line="276" w:before="227" w:after="113"/>
        <w:ind w:left="0" w:right="0" w:hanging="0"/>
        <w:rPr/>
      </w:pPr>
      <w:r>
        <w:rPr>
          <w:rFonts w:ascii="Verdana" w:hAnsi="Verdana"/>
        </w:rPr>
        <w:t>22. DA IMPUGNAÇÃO AO EDITAL E DO PEDIDO DE ESCLARECIMENTO</w:t>
      </w:r>
    </w:p>
    <w:p>
      <w:pPr>
        <w:pStyle w:val="ListParagraph"/>
        <w:spacing w:lineRule="auto" w:line="276" w:before="113" w:after="113"/>
        <w:ind w:left="0" w:right="0" w:hanging="0"/>
        <w:contextualSpacing w:val="false"/>
        <w:jc w:val="both"/>
        <w:rPr/>
      </w:pPr>
      <w:r>
        <w:rPr>
          <w:rFonts w:cs="Arial" w:ascii="Verdana" w:hAnsi="Verdana"/>
          <w:sz w:val="20"/>
          <w:szCs w:val="20"/>
        </w:rPr>
        <w:t xml:space="preserve">22.1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113" w:after="113"/>
        <w:ind w:left="0" w:right="0" w:hanging="0"/>
        <w:contextualSpacing w:val="false"/>
        <w:jc w:val="both"/>
        <w:rPr/>
      </w:pPr>
      <w:r>
        <w:rPr>
          <w:rFonts w:cs="Arial" w:ascii="Verdana" w:hAnsi="Verdana"/>
          <w:color w:val="000000"/>
          <w:sz w:val="20"/>
          <w:szCs w:val="20"/>
        </w:rPr>
        <w:t xml:space="preserve">22.2 A impugnação poderá ser realizada por forma eletrônica, pelo e-mail </w:t>
      </w:r>
      <w:hyperlink r:id="rId8">
        <w:r>
          <w:rPr>
            <w:rStyle w:val="LinkdaInternet"/>
            <w:rFonts w:cs="Arial" w:ascii="Verdana" w:hAnsi="Verdana"/>
            <w:b/>
            <w:bCs/>
            <w:color w:val="000000" w:themeColor="text1"/>
            <w:sz w:val="20"/>
            <w:szCs w:val="20"/>
          </w:rPr>
          <w:t>licitacao@saogabriel.es.gov.br</w:t>
        </w:r>
      </w:hyperlink>
      <w:r>
        <w:rPr>
          <w:rFonts w:cs="Arial" w:ascii="Verdana" w:hAnsi="Verdana"/>
          <w:color w:val="000000" w:themeColor="text1"/>
          <w:sz w:val="20"/>
          <w:szCs w:val="20"/>
        </w:rPr>
        <w:t xml:space="preserve">, </w:t>
      </w:r>
      <w:r>
        <w:rPr>
          <w:rFonts w:cs="Arial" w:ascii="Verdana" w:hAnsi="Verdana"/>
          <w:color w:val="000000"/>
          <w:sz w:val="20"/>
          <w:szCs w:val="20"/>
        </w:rPr>
        <w:t xml:space="preserve">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113" w:after="113"/>
        <w:ind w:left="0" w:right="0" w:hanging="0"/>
        <w:contextualSpacing w:val="false"/>
        <w:jc w:val="both"/>
        <w:rPr/>
      </w:pPr>
      <w:r>
        <w:rPr>
          <w:rFonts w:cs="Arial" w:ascii="Verdana" w:hAnsi="Verdana"/>
          <w:color w:val="000000"/>
          <w:sz w:val="20"/>
          <w:szCs w:val="20"/>
        </w:rPr>
        <w:t>22.3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113" w:after="113"/>
        <w:ind w:left="0" w:right="0" w:hanging="0"/>
        <w:contextualSpacing w:val="false"/>
        <w:jc w:val="both"/>
        <w:rPr/>
      </w:pPr>
      <w:r>
        <w:rPr>
          <w:rFonts w:cs="Arial" w:ascii="Verdana" w:hAnsi="Verdana"/>
          <w:color w:val="000000"/>
          <w:sz w:val="20"/>
          <w:szCs w:val="20"/>
        </w:rPr>
        <w:t>22.4 Acolhida a impugnação, será definida e publicada nova data para a realização do certame.</w:t>
      </w:r>
    </w:p>
    <w:p>
      <w:pPr>
        <w:pStyle w:val="ListParagraph"/>
        <w:spacing w:lineRule="auto" w:line="276" w:before="113" w:after="113"/>
        <w:ind w:left="0" w:right="0" w:hanging="0"/>
        <w:contextualSpacing w:val="false"/>
        <w:jc w:val="both"/>
        <w:rPr/>
      </w:pPr>
      <w:r>
        <w:rPr>
          <w:rFonts w:cs="Arial" w:ascii="Verdana" w:hAnsi="Verdana"/>
          <w:color w:val="000000"/>
          <w:sz w:val="20"/>
          <w:szCs w:val="20"/>
        </w:rPr>
        <w:t xml:space="preserve">22.5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113" w:after="113"/>
        <w:ind w:left="0" w:right="0" w:hanging="0"/>
        <w:contextualSpacing w:val="false"/>
        <w:jc w:val="both"/>
        <w:rPr/>
      </w:pPr>
      <w:r>
        <w:rPr>
          <w:rFonts w:cs="Arial" w:ascii="Verdana" w:hAnsi="Verdana"/>
          <w:color w:val="000000"/>
          <w:sz w:val="20"/>
          <w:szCs w:val="20"/>
        </w:rPr>
        <w:t>22.6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113" w:after="113"/>
        <w:ind w:left="0" w:right="0" w:hanging="0"/>
        <w:contextualSpacing w:val="false"/>
        <w:jc w:val="both"/>
        <w:rPr/>
      </w:pPr>
      <w:r>
        <w:rPr>
          <w:rFonts w:cs="Arial" w:ascii="Verdana" w:hAnsi="Verdana"/>
          <w:color w:val="000000"/>
          <w:sz w:val="20"/>
          <w:szCs w:val="20"/>
        </w:rPr>
        <w:t>22.7 As impugnações e pedidos de esclarecimentos não suspendem os prazos previstos no certame.</w:t>
      </w:r>
    </w:p>
    <w:p>
      <w:pPr>
        <w:pStyle w:val="Normal"/>
        <w:spacing w:lineRule="auto" w:line="276" w:before="113" w:after="113"/>
        <w:ind w:left="0" w:right="0" w:hanging="0"/>
        <w:jc w:val="both"/>
        <w:rPr/>
      </w:pPr>
      <w:r>
        <w:rPr>
          <w:rFonts w:cs="Arial" w:ascii="Verdana" w:hAnsi="Verdana"/>
          <w:color w:val="000000"/>
          <w:sz w:val="20"/>
          <w:szCs w:val="20"/>
        </w:rPr>
        <w:t>22.8 A concessão de efeito suspensivo à impugnação é medida excepcional e deverá ser motivada pelo pregoeiro, nos autos do processo de licitação.</w:t>
      </w:r>
    </w:p>
    <w:p>
      <w:pPr>
        <w:pStyle w:val="Normal"/>
        <w:spacing w:lineRule="auto" w:line="276" w:before="113" w:after="113"/>
        <w:ind w:left="0" w:right="0" w:hanging="0"/>
        <w:jc w:val="both"/>
        <w:rPr/>
      </w:pPr>
      <w:r>
        <w:rPr>
          <w:rFonts w:cs="Arial" w:ascii="Verdana" w:hAnsi="Verdana"/>
          <w:color w:val="000000"/>
          <w:sz w:val="20"/>
          <w:szCs w:val="20"/>
        </w:rPr>
        <w:t>22.9 As respostas aos pedidos de esclarecimentos serão divulgadas pelo sistema e vincularão os participantes e a administração.</w:t>
      </w:r>
    </w:p>
    <w:p>
      <w:pPr>
        <w:pStyle w:val="Nivel01"/>
        <w:spacing w:lineRule="auto" w:line="276" w:before="227" w:after="113"/>
        <w:ind w:left="0" w:right="0" w:hanging="0"/>
        <w:rPr/>
      </w:pPr>
      <w:r>
        <w:rPr>
          <w:rFonts w:ascii="Verdana" w:hAnsi="Verdana"/>
        </w:rPr>
        <w:t>23. DAS DISPOSIÇÕES GERAIS</w:t>
      </w:r>
    </w:p>
    <w:p>
      <w:pPr>
        <w:pStyle w:val="Normal"/>
        <w:spacing w:lineRule="auto" w:line="276" w:before="113" w:after="113"/>
        <w:ind w:left="0" w:right="0" w:hanging="0"/>
        <w:jc w:val="both"/>
        <w:rPr/>
      </w:pPr>
      <w:r>
        <w:rPr>
          <w:rFonts w:cs="Arial" w:ascii="Verdana" w:hAnsi="Verdana"/>
          <w:color w:val="000000"/>
          <w:sz w:val="20"/>
          <w:szCs w:val="20"/>
        </w:rPr>
        <w:t>23.1 Da sessão pública do Pregão divulgar-se-á Ata no sistema eletrônico.</w:t>
      </w:r>
    </w:p>
    <w:p>
      <w:pPr>
        <w:pStyle w:val="Normal"/>
        <w:spacing w:lineRule="auto" w:line="276" w:before="113" w:after="113"/>
        <w:ind w:left="0" w:right="0" w:hanging="0"/>
        <w:jc w:val="both"/>
        <w:rPr/>
      </w:pPr>
      <w:r>
        <w:rPr>
          <w:rFonts w:cs="Arial" w:ascii="Verdana" w:hAnsi="Verdana"/>
          <w:color w:val="000000"/>
          <w:sz w:val="20"/>
          <w:szCs w:val="20"/>
        </w:rPr>
        <w:t>23.2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113" w:after="113"/>
        <w:ind w:left="0" w:right="0" w:hanging="0"/>
        <w:jc w:val="both"/>
        <w:rPr/>
      </w:pPr>
      <w:r>
        <w:rPr>
          <w:rFonts w:cs="Arial" w:ascii="Verdana" w:hAnsi="Verdana"/>
          <w:color w:val="000000"/>
          <w:sz w:val="20"/>
          <w:szCs w:val="20"/>
        </w:rPr>
        <w:t>23.3 Todas as referências de tempo no Edital, no aviso e durante a sessão pública observarão o horário de Brasília – DF.</w:t>
      </w:r>
    </w:p>
    <w:p>
      <w:pPr>
        <w:pStyle w:val="Normal"/>
        <w:spacing w:lineRule="auto" w:line="276" w:before="113" w:after="113"/>
        <w:ind w:left="0" w:right="0" w:hanging="0"/>
        <w:jc w:val="both"/>
        <w:rPr/>
      </w:pPr>
      <w:r>
        <w:rPr>
          <w:rFonts w:cs="Arial" w:ascii="Verdana" w:hAnsi="Verdana"/>
          <w:color w:val="000000" w:themeColor="text1"/>
          <w:sz w:val="20"/>
          <w:szCs w:val="20"/>
        </w:rPr>
        <w:t>23.4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113" w:after="113"/>
        <w:ind w:left="0" w:right="0" w:hanging="0"/>
        <w:jc w:val="both"/>
        <w:rPr/>
      </w:pPr>
      <w:r>
        <w:rPr>
          <w:rFonts w:cs="Arial" w:ascii="Verdana" w:hAnsi="Verdana"/>
          <w:color w:val="000000"/>
          <w:sz w:val="20"/>
          <w:szCs w:val="20"/>
        </w:rPr>
        <w:t>23.5 A homologação do resultado desta licitação não implicará direito à contratação.</w:t>
      </w:r>
    </w:p>
    <w:p>
      <w:pPr>
        <w:pStyle w:val="Normal"/>
        <w:spacing w:lineRule="auto" w:line="276" w:before="113" w:after="113"/>
        <w:ind w:left="0" w:right="0" w:hanging="0"/>
        <w:jc w:val="both"/>
        <w:rPr/>
      </w:pPr>
      <w:r>
        <w:rPr>
          <w:rFonts w:cs="Arial" w:ascii="Verdana" w:hAnsi="Verdana"/>
          <w:color w:val="000000"/>
          <w:sz w:val="20"/>
          <w:szCs w:val="20"/>
        </w:rPr>
        <w:t>23.6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113" w:after="113"/>
        <w:ind w:left="0" w:right="0" w:hanging="0"/>
        <w:jc w:val="both"/>
        <w:rPr/>
      </w:pPr>
      <w:r>
        <w:rPr>
          <w:rFonts w:cs="Arial" w:ascii="Verdana" w:hAnsi="Verdana"/>
          <w:color w:val="000000"/>
          <w:sz w:val="20"/>
          <w:szCs w:val="20"/>
        </w:rPr>
        <w:t>23.7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113" w:after="113"/>
        <w:ind w:left="0" w:right="0" w:hanging="0"/>
        <w:jc w:val="both"/>
        <w:rPr/>
      </w:pPr>
      <w:r>
        <w:rPr>
          <w:rFonts w:cs="Arial" w:ascii="Verdana" w:hAnsi="Verdana"/>
          <w:color w:val="000000"/>
          <w:sz w:val="20"/>
          <w:szCs w:val="20"/>
        </w:rPr>
        <w:t>23.8 Na contagem dos prazos estabelecidos neste Edital e seus Anexos, excluir-se-á o dia do início e incluir-se-á o do vencimento. Só se iniciam e vencem os prazos em dias de expediente na Administração.</w:t>
      </w:r>
    </w:p>
    <w:p>
      <w:pPr>
        <w:pStyle w:val="Normal"/>
        <w:spacing w:lineRule="auto" w:line="276" w:before="113" w:after="113"/>
        <w:ind w:left="0" w:right="0" w:hanging="0"/>
        <w:jc w:val="both"/>
        <w:rPr/>
      </w:pPr>
      <w:r>
        <w:rPr>
          <w:rFonts w:cs="Arial" w:ascii="Verdana" w:hAnsi="Verdana"/>
          <w:color w:val="000000"/>
          <w:sz w:val="20"/>
          <w:szCs w:val="20"/>
        </w:rPr>
        <w:t>23.9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113" w:after="113"/>
        <w:ind w:left="0" w:right="0" w:hanging="0"/>
        <w:jc w:val="both"/>
        <w:rPr/>
      </w:pPr>
      <w:r>
        <w:rPr>
          <w:rFonts w:cs="Arial" w:ascii="Verdana" w:hAnsi="Verdana"/>
          <w:color w:val="000000"/>
          <w:sz w:val="20"/>
          <w:szCs w:val="20"/>
        </w:rPr>
        <w:t>23.10 Em caso de divergência entre disposições deste Edital e de seus anexos ou demais peças que compõem o processo, prevalecerá as deste Edital.</w:t>
      </w:r>
    </w:p>
    <w:p>
      <w:pPr>
        <w:pStyle w:val="Normal"/>
        <w:spacing w:lineRule="auto" w:line="276" w:before="113" w:after="113"/>
        <w:ind w:left="0" w:right="0" w:hanging="0"/>
        <w:jc w:val="both"/>
        <w:rPr/>
      </w:pPr>
      <w:r>
        <w:rPr>
          <w:rFonts w:cs="Arial" w:ascii="Verdana" w:hAnsi="Verdana"/>
          <w:color w:val="000000"/>
          <w:sz w:val="20"/>
          <w:szCs w:val="20"/>
        </w:rPr>
        <w:t xml:space="preserve">23.11 O Edital está disponibilizado, na íntegra, no endereço eletrônico </w:t>
      </w:r>
      <w:r>
        <w:rPr>
          <w:rFonts w:cs="Arial" w:ascii="Verdana" w:hAnsi="Verdana"/>
          <w:sz w:val="20"/>
          <w:szCs w:val="20"/>
          <w:u w:val="single"/>
        </w:rPr>
        <w:t>http://www.comprasgovernamentais.gov.br</w:t>
      </w:r>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9">
        <w:r>
          <w:rPr>
            <w:rStyle w:val="LinkdaInternet"/>
            <w:rFonts w:ascii="Verdana" w:hAnsi="Verdana"/>
            <w:sz w:val="20"/>
            <w:szCs w:val="20"/>
          </w:rPr>
          <w:t>licitacao@saogabriel.es.gov.br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lineRule="auto" w:line="276" w:before="113" w:after="113"/>
        <w:ind w:left="0" w:right="0" w:hanging="0"/>
        <w:jc w:val="both"/>
        <w:rPr/>
      </w:pPr>
      <w:r>
        <w:rPr>
          <w:rFonts w:cs="Arial" w:ascii="Verdana" w:hAnsi="Verdana"/>
          <w:color w:val="000000"/>
          <w:sz w:val="20"/>
          <w:szCs w:val="20"/>
        </w:rPr>
        <w:t>23.12 Integram este Edital, para todos os fins e efeitos, os seguintes anexos:</w:t>
      </w:r>
    </w:p>
    <w:p>
      <w:pPr>
        <w:pStyle w:val="Normal"/>
        <w:tabs>
          <w:tab w:val="clear" w:pos="720"/>
          <w:tab w:val="left" w:pos="800" w:leader="none"/>
        </w:tabs>
        <w:snapToGrid w:val="false"/>
        <w:spacing w:lineRule="auto" w:line="276" w:before="113" w:after="113"/>
        <w:ind w:left="0" w:right="0" w:hanging="0"/>
        <w:jc w:val="both"/>
        <w:rPr/>
      </w:pPr>
      <w:r>
        <w:rPr>
          <w:rFonts w:cs="Arial" w:ascii="Verdana" w:hAnsi="Verdana"/>
          <w:color w:val="000000"/>
          <w:sz w:val="20"/>
          <w:szCs w:val="20"/>
        </w:rPr>
        <w:t>23.12.2 ANEXO I – Modelo Orientativo de Proposta;</w:t>
      </w:r>
    </w:p>
    <w:p>
      <w:pPr>
        <w:pStyle w:val="Normal"/>
        <w:tabs>
          <w:tab w:val="clear" w:pos="720"/>
          <w:tab w:val="left" w:pos="800" w:leader="none"/>
        </w:tabs>
        <w:snapToGrid w:val="false"/>
        <w:spacing w:lineRule="auto" w:line="276" w:before="113" w:after="113"/>
        <w:ind w:left="0" w:right="0" w:hanging="0"/>
        <w:jc w:val="both"/>
        <w:rPr/>
      </w:pPr>
      <w:r>
        <w:rPr>
          <w:rFonts w:cs="Arial" w:ascii="Verdana" w:hAnsi="Verdana"/>
          <w:color w:val="000000"/>
          <w:sz w:val="20"/>
          <w:szCs w:val="20"/>
        </w:rPr>
        <w:t>23.12.3 ANEXO II – Minuta de Ata de Registro de Preços;</w:t>
      </w:r>
    </w:p>
    <w:p>
      <w:pPr>
        <w:pStyle w:val="Normal"/>
        <w:tabs>
          <w:tab w:val="clear" w:pos="720"/>
          <w:tab w:val="left" w:pos="800" w:leader="none"/>
        </w:tabs>
        <w:snapToGrid w:val="false"/>
        <w:spacing w:lineRule="auto" w:line="276" w:before="113" w:after="113"/>
        <w:ind w:left="0" w:right="0" w:hanging="0"/>
        <w:jc w:val="both"/>
        <w:rPr>
          <w:rFonts w:ascii="Verdana" w:hAnsi="Verdana" w:eastAsia="" w:cs="Arial" w:eastAsiaTheme="majorEastAsia"/>
          <w:color w:val="000000"/>
          <w:sz w:val="20"/>
          <w:szCs w:val="20"/>
        </w:rPr>
      </w:pPr>
      <w:r>
        <w:rPr>
          <w:rFonts w:eastAsia="" w:cs="Arial" w:eastAsiaTheme="majorEastAsia" w:ascii="Verdana" w:hAnsi="Verdana"/>
          <w:color w:val="000000"/>
          <w:sz w:val="20"/>
          <w:szCs w:val="20"/>
        </w:rPr>
      </w:r>
    </w:p>
    <w:p>
      <w:pPr>
        <w:pStyle w:val="Normal"/>
        <w:keepNext w:val="true"/>
        <w:keepLines/>
        <w:numPr>
          <w:ilvl w:val="0"/>
          <w:numId w:val="0"/>
        </w:numPr>
        <w:tabs>
          <w:tab w:val="clear" w:pos="720"/>
          <w:tab w:val="left" w:pos="567" w:leader="none"/>
        </w:tabs>
        <w:spacing w:lineRule="auto" w:line="276" w:before="113" w:after="113"/>
        <w:ind w:left="0" w:right="0" w:hanging="0"/>
        <w:jc w:val="center"/>
        <w:outlineLvl w:val="0"/>
        <w:rPr/>
      </w:pPr>
      <w:r>
        <w:rPr>
          <w:rFonts w:eastAsia="" w:cs="Arial" w:ascii="Verdana" w:hAnsi="Verdana" w:eastAsiaTheme="majorEastAsia"/>
          <w:color w:val="000000"/>
          <w:sz w:val="20"/>
          <w:szCs w:val="20"/>
        </w:rPr>
        <w:t>São Gabriel da Palha/ES, 10 de outubro de 2023.</w:t>
      </w:r>
    </w:p>
    <w:p>
      <w:pPr>
        <w:pStyle w:val="Normal"/>
        <w:tabs>
          <w:tab w:val="clear" w:pos="720"/>
          <w:tab w:val="left" w:pos="1440" w:leader="none"/>
        </w:tabs>
        <w:snapToGrid w:val="false"/>
        <w:spacing w:lineRule="auto" w:line="276" w:before="120" w:after="120"/>
        <w:ind w:left="1638" w:hanging="0"/>
        <w:jc w:val="both"/>
        <w:rPr>
          <w:rFonts w:ascii="Verdana" w:hAnsi="Verdana" w:cs="Arial"/>
          <w:sz w:val="20"/>
          <w:szCs w:val="20"/>
        </w:rPr>
      </w:pPr>
      <w:r>
        <w:rPr>
          <w:rFonts w:cs="Arial" w:ascii="Verdana" w:hAnsi="Verdana"/>
          <w:sz w:val="20"/>
          <w:szCs w:val="20"/>
        </w:rPr>
      </w:r>
    </w:p>
    <w:p>
      <w:pPr>
        <w:pStyle w:val="Normal"/>
        <w:numPr>
          <w:ilvl w:val="0"/>
          <w:numId w:val="0"/>
        </w:numPr>
        <w:tabs>
          <w:tab w:val="clear" w:pos="720"/>
          <w:tab w:val="left" w:pos="567" w:leader="none"/>
        </w:tabs>
        <w:ind w:left="0" w:hanging="0"/>
        <w:jc w:val="center"/>
        <w:outlineLvl w:val="0"/>
        <w:rPr>
          <w:sz w:val="20"/>
          <w:szCs w:val="20"/>
        </w:rPr>
      </w:pPr>
      <w:r>
        <w:rPr>
          <w:rFonts w:eastAsia="" w:cs="Arial" w:ascii="Verdana" w:hAnsi="Verdana" w:eastAsiaTheme="majorEastAsia"/>
          <w:b/>
          <w:bCs/>
          <w:color w:val="000000"/>
          <w:sz w:val="20"/>
          <w:szCs w:val="20"/>
        </w:rPr>
        <w:t>MARLENE SILVA TEIXEIRA DE SOUZA</w:t>
      </w:r>
    </w:p>
    <w:p>
      <w:pPr>
        <w:pStyle w:val="Normal"/>
        <w:keepNext w:val="true"/>
        <w:keepLines/>
        <w:numPr>
          <w:ilvl w:val="0"/>
          <w:numId w:val="0"/>
        </w:numPr>
        <w:tabs>
          <w:tab w:val="clear" w:pos="720"/>
          <w:tab w:val="left" w:pos="567" w:leader="none"/>
        </w:tabs>
        <w:spacing w:lineRule="auto" w:line="276"/>
        <w:ind w:left="0" w:hanging="0"/>
        <w:jc w:val="center"/>
        <w:outlineLvl w:val="0"/>
        <w:rPr>
          <w:sz w:val="20"/>
          <w:szCs w:val="20"/>
        </w:rPr>
      </w:pPr>
      <w:r>
        <w:rPr>
          <w:rFonts w:eastAsia="" w:cs="Arial" w:ascii="Verdana" w:hAnsi="Verdana" w:eastAsiaTheme="majorEastAsia"/>
          <w:b/>
          <w:bCs/>
          <w:color w:val="000000"/>
          <w:sz w:val="20"/>
          <w:szCs w:val="20"/>
        </w:rPr>
        <w:t xml:space="preserve">Secretária Municipal de Educação </w:t>
      </w:r>
    </w:p>
    <w:p>
      <w:pPr>
        <w:pStyle w:val="Normal"/>
        <w:numPr>
          <w:ilvl w:val="0"/>
          <w:numId w:val="0"/>
        </w:numPr>
        <w:tabs>
          <w:tab w:val="clear" w:pos="720"/>
          <w:tab w:val="left" w:pos="567" w:leader="none"/>
        </w:tabs>
        <w:spacing w:lineRule="auto" w:line="276"/>
        <w:ind w:left="360" w:hanging="0"/>
        <w:jc w:val="center"/>
        <w:outlineLvl w:val="0"/>
        <w:rPr>
          <w:rFonts w:ascii="Verdana" w:hAnsi="Verdana" w:eastAsia="" w:cs="Arial" w:eastAsiaTheme="majorEastAsia"/>
          <w:b/>
          <w:bCs/>
          <w:color w:val="000000"/>
          <w:sz w:val="20"/>
          <w:szCs w:val="20"/>
        </w:rPr>
      </w:pPr>
      <w:r>
        <w:rPr>
          <w:rFonts w:eastAsia="" w:cs="Arial" w:eastAsiaTheme="majorEastAsia" w:ascii="Verdana" w:hAnsi="Verdana"/>
          <w:b/>
          <w:bCs/>
          <w:color w:val="000000"/>
          <w:sz w:val="20"/>
          <w:szCs w:val="20"/>
        </w:rPr>
      </w:r>
    </w:p>
    <w:p>
      <w:pPr>
        <w:pStyle w:val="Normal"/>
        <w:numPr>
          <w:ilvl w:val="0"/>
          <w:numId w:val="0"/>
        </w:numPr>
        <w:tabs>
          <w:tab w:val="clear" w:pos="720"/>
          <w:tab w:val="left" w:pos="567" w:leader="none"/>
        </w:tabs>
        <w:spacing w:lineRule="auto" w:line="276"/>
        <w:ind w:left="360" w:hanging="0"/>
        <w:jc w:val="center"/>
        <w:outlineLvl w:val="0"/>
        <w:rPr>
          <w:rFonts w:ascii="Verdana" w:hAnsi="Verdana" w:eastAsia="" w:cs="Arial" w:eastAsiaTheme="majorEastAsia"/>
          <w:b/>
          <w:bCs/>
          <w:color w:val="000000"/>
          <w:sz w:val="20"/>
          <w:szCs w:val="20"/>
        </w:rPr>
      </w:pPr>
      <w:r>
        <w:rPr>
          <w:rFonts w:eastAsia="" w:cs="Arial" w:eastAsiaTheme="majorEastAsia" w:ascii="Verdana" w:hAnsi="Verdana"/>
          <w:b/>
          <w:bCs/>
          <w:color w:val="000000"/>
          <w:sz w:val="20"/>
          <w:szCs w:val="20"/>
        </w:rPr>
      </w:r>
    </w:p>
    <w:p>
      <w:pPr>
        <w:pStyle w:val="Normal"/>
        <w:numPr>
          <w:ilvl w:val="0"/>
          <w:numId w:val="0"/>
        </w:numPr>
        <w:tabs>
          <w:tab w:val="clear" w:pos="720"/>
          <w:tab w:val="left" w:pos="567" w:leader="none"/>
        </w:tabs>
        <w:spacing w:lineRule="auto" w:line="276"/>
        <w:ind w:left="360" w:hanging="0"/>
        <w:jc w:val="center"/>
        <w:outlineLvl w:val="0"/>
        <w:rPr>
          <w:rFonts w:ascii="Verdana" w:hAnsi="Verdana" w:eastAsia="" w:cs="Arial" w:eastAsiaTheme="majorEastAsia"/>
          <w:b/>
          <w:bCs/>
          <w:color w:val="000000"/>
          <w:sz w:val="20"/>
          <w:szCs w:val="20"/>
        </w:rPr>
      </w:pPr>
      <w:r>
        <w:rPr>
          <w:rFonts w:eastAsia="" w:cs="Arial" w:eastAsiaTheme="majorEastAsia" w:ascii="Verdana" w:hAnsi="Verdana"/>
          <w:b/>
          <w:bCs/>
          <w:color w:val="000000"/>
          <w:sz w:val="20"/>
          <w:szCs w:val="20"/>
        </w:rPr>
      </w:r>
    </w:p>
    <w:p>
      <w:pPr>
        <w:pStyle w:val="Normal"/>
        <w:numPr>
          <w:ilvl w:val="0"/>
          <w:numId w:val="0"/>
        </w:numPr>
        <w:tabs>
          <w:tab w:val="clear" w:pos="720"/>
          <w:tab w:val="left" w:pos="567" w:leader="none"/>
        </w:tabs>
        <w:spacing w:lineRule="auto" w:line="276"/>
        <w:ind w:left="360" w:hanging="0"/>
        <w:jc w:val="center"/>
        <w:outlineLvl w:val="0"/>
        <w:rPr>
          <w:rFonts w:ascii="Verdana" w:hAnsi="Verdana" w:eastAsia="" w:cs="Arial" w:eastAsiaTheme="majorEastAsia"/>
          <w:b/>
          <w:bCs/>
          <w:color w:val="000000"/>
          <w:sz w:val="20"/>
          <w:szCs w:val="20"/>
        </w:rPr>
      </w:pPr>
      <w:r>
        <w:rPr>
          <w:rFonts w:eastAsia="" w:cs="Arial" w:eastAsiaTheme="majorEastAsia" w:ascii="Verdana" w:hAnsi="Verdana"/>
          <w:b/>
          <w:bCs/>
          <w:color w:val="000000"/>
          <w:sz w:val="20"/>
          <w:szCs w:val="20"/>
        </w:rPr>
      </w:r>
    </w:p>
    <w:p>
      <w:pPr>
        <w:pStyle w:val="Normal"/>
        <w:numPr>
          <w:ilvl w:val="0"/>
          <w:numId w:val="0"/>
        </w:numPr>
        <w:tabs>
          <w:tab w:val="clear" w:pos="720"/>
          <w:tab w:val="left" w:pos="567" w:leader="none"/>
        </w:tabs>
        <w:spacing w:lineRule="auto" w:line="276"/>
        <w:ind w:left="360" w:hanging="0"/>
        <w:jc w:val="center"/>
        <w:outlineLvl w:val="0"/>
        <w:rPr>
          <w:rFonts w:ascii="Verdana" w:hAnsi="Verdana" w:eastAsia="" w:cs="Arial" w:eastAsiaTheme="majorEastAsia"/>
          <w:b/>
          <w:bCs/>
          <w:color w:val="000000"/>
          <w:sz w:val="20"/>
          <w:szCs w:val="20"/>
        </w:rPr>
      </w:pPr>
      <w:r>
        <w:rPr>
          <w:rFonts w:eastAsia="" w:cs="Arial" w:eastAsiaTheme="majorEastAsia" w:ascii="Verdana" w:hAnsi="Verdana"/>
          <w:b/>
          <w:bCs/>
          <w:color w:val="000000"/>
          <w:sz w:val="20"/>
          <w:szCs w:val="20"/>
        </w:rPr>
      </w:r>
    </w:p>
    <w:p>
      <w:pPr>
        <w:pStyle w:val="Normal"/>
        <w:numPr>
          <w:ilvl w:val="0"/>
          <w:numId w:val="0"/>
        </w:numPr>
        <w:tabs>
          <w:tab w:val="clear" w:pos="720"/>
          <w:tab w:val="left" w:pos="567" w:leader="none"/>
        </w:tabs>
        <w:spacing w:lineRule="auto" w:line="276"/>
        <w:ind w:left="360" w:hanging="0"/>
        <w:outlineLvl w:val="0"/>
        <w:rPr>
          <w:sz w:val="20"/>
          <w:szCs w:val="20"/>
        </w:rPr>
      </w:pPr>
      <w:r>
        <w:rPr>
          <w:sz w:val="20"/>
          <w:szCs w:val="20"/>
        </w:rPr>
      </w:r>
    </w:p>
    <w:sectPr>
      <w:headerReference w:type="default" r:id="rId10"/>
      <w:footerReference w:type="default" r:id="rId11"/>
      <w:type w:val="nextPage"/>
      <w:pgSz w:w="11906" w:h="16838"/>
      <w:pgMar w:left="1367" w:right="872" w:gutter="0" w:header="517" w:top="1767" w:footer="263" w:bottom="80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Cabealho"/>
      <w:jc w:val="center"/>
      <w:rPr>
        <w:rFonts w:ascii="Verdana" w:hAnsi="Verdana"/>
        <w:sz w:val="16"/>
        <w:szCs w:val="16"/>
      </w:rPr>
    </w:pPr>
    <w:r>
      <w:rPr>
        <w:rFonts w:cs="Times New Roman"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5.%2. "/>
      <w:lvlJc w:val="left"/>
      <w:pPr>
        <w:tabs>
          <w:tab w:val="num" w:pos="0"/>
        </w:tabs>
        <w:ind w:left="999" w:hanging="432"/>
      </w:pPr>
      <w:rPr>
        <w:dstrike w:val="false"/>
        <w:strike w:val="false"/>
        <w:sz w:val="20"/>
        <w:i w:val="false"/>
        <w:u w:val="none"/>
        <w:b/>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szCs w:val="22"/>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85"/>
  <w:defaultTabStop w:val="720"/>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a3a05"/>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20"/>
        <w:tab w:val="left" w:pos="1701" w:leader="none"/>
      </w:tabs>
      <w:ind w:right="-1" w:hanging="0"/>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rsid w:val="00bf1a7f"/>
    <w:rPr>
      <w:color w:val="000080"/>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iPriority w:val="99"/>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f77ad"/>
    <w:rPr>
      <w:rFonts w:ascii="Ecofont_Spranq_eco_Sans" w:hAnsi="Ecofont_Spranq_eco_Sans" w:eastAsia="" w:cs="" w:cstheme="majorBidi" w:eastAsiaTheme="majorEastAsia"/>
      <w:b/>
      <w:bCs/>
      <w:color w:val="000000"/>
      <w:spacing w:val="5"/>
      <w:kern w:val="2"/>
      <w:sz w:val="52"/>
      <w:szCs w:val="52"/>
      <w:lang w:eastAsia="pt-BR"/>
    </w:rPr>
  </w:style>
  <w:style w:type="character" w:styleId="Ttulo1Char" w:customStyle="1">
    <w:name w:val="Título 1 Char"/>
    <w:basedOn w:val="DefaultParagraphFont"/>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Ecofont_Spranq_eco_Sans" w:hAnsi="Ecofont_Spranq_eco_Sans"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3629e4"/>
    <w:rPr>
      <w:rFonts w:ascii="Ecofont_Spranq_eco_Sans" w:hAnsi="Ecofont_Spranq_eco_Sans" w:eastAsia="Arial Unicode MS" w:cs="Arial"/>
      <w:lang w:eastAsia="pt-BR"/>
    </w:rPr>
  </w:style>
  <w:style w:type="character" w:styleId="MenoPendente1" w:customStyle="1">
    <w:name w:val="Menção Pendente1"/>
    <w:basedOn w:val="DefaultParagraphFont"/>
    <w:uiPriority w:val="99"/>
    <w:semiHidden/>
    <w:unhideWhenUsed/>
    <w:qFormat/>
    <w:rsid w:val="00ee6941"/>
    <w:rPr>
      <w:color w:val="605E5C"/>
      <w:shd w:fill="E1DFDD" w:val="clear"/>
    </w:rPr>
  </w:style>
  <w:style w:type="character" w:styleId="Linkdainternetvisitado">
    <w:name w:val="FollowedHyperlink"/>
    <w:rPr>
      <w:color w:val="800000"/>
      <w:u w:val="single"/>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40576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qFormat/>
    <w:pPr>
      <w:suppressLineNumbers/>
      <w:spacing w:before="120" w:after="120"/>
    </w:pPr>
    <w:rPr>
      <w:rFonts w:cs="Arial"/>
      <w:i/>
      <w:iC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ascii="Arial" w:hAnsi="Arial" w:cs="Times New Roman"/>
      <w:b/>
      <w:szCs w:val="20"/>
    </w:rPr>
  </w:style>
  <w:style w:type="paragraph" w:styleId="Quote">
    <w:name w:val="Quote"/>
    <w:basedOn w:val="Normal"/>
    <w:next w:val="Normal"/>
    <w:link w:val="CitaoChar"/>
    <w:qFormat/>
    <w:rsid w:val="00080b5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CabealhoeRodap" w:customStyle="1">
    <w:name w:val="Cabeçalho e Rodapé"/>
    <w:basedOn w:val="Normal"/>
    <w:qFormat/>
    <w:pPr/>
    <w:rPr/>
  </w:style>
  <w:style w:type="paragraph" w:styleId="Cabealho">
    <w:name w:val="Header"/>
    <w:basedOn w:val="Normal"/>
    <w:link w:val="CabealhoChar"/>
    <w:rsid w:val="00ca24fb"/>
    <w:pPr>
      <w:tabs>
        <w:tab w:val="clear" w:pos="720"/>
        <w:tab w:val="center" w:pos="4252" w:leader="none"/>
        <w:tab w:val="right" w:pos="8504" w:leader="none"/>
      </w:tabs>
    </w:pPr>
    <w:rPr/>
  </w:style>
  <w:style w:type="paragraph" w:styleId="Rodap">
    <w:name w:val="Footer"/>
    <w:basedOn w:val="Normal"/>
    <w:link w:val="RodapChar"/>
    <w:uiPriority w:val="99"/>
    <w:rsid w:val="00ca24fb"/>
    <w:pPr>
      <w:tabs>
        <w:tab w:val="clear" w:pos="720"/>
        <w:tab w:val="center" w:pos="4252" w:leader="none"/>
        <w:tab w:val="right" w:pos="8504" w:leader="none"/>
      </w:tabs>
    </w:pPr>
    <w:rPr/>
  </w:style>
  <w:style w:type="paragraph" w:styleId="Annotationtext">
    <w:name w:val="annotation text"/>
    <w:basedOn w:val="Normal"/>
    <w:link w:val="TextodecomentrioChar"/>
    <w:uiPriority w:val="99"/>
    <w:unhideWhenUsed/>
    <w:qFormat/>
    <w:rsid w:val="00430fdb"/>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qFormat/>
    <w:rsid w:val="007f77ad"/>
    <w:pPr>
      <w:tabs>
        <w:tab w:val="clear" w:pos="720"/>
        <w:tab w:val="left" w:pos="567" w:leader="none"/>
      </w:tabs>
      <w:spacing w:before="240" w:after="0"/>
      <w:jc w:val="both"/>
    </w:pPr>
    <w:rPr>
      <w:rFonts w:ascii="Ecofont_Spranq_eco_Sans" w:hAnsi="Ecofont_Spranq_eco_Sans" w:cs="Times New Roman"/>
      <w:color w:val="000000"/>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b7776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53119e"/>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1b642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e84570"/>
    <w:pPr>
      <w:ind w:left="720" w:hanging="0"/>
    </w:pPr>
    <w:rPr>
      <w:rFonts w:eastAsia="Times New Roman" w:cs="Ecofont_Spranq_eco_Sans"/>
    </w:rPr>
  </w:style>
  <w:style w:type="paragraph" w:styleId="Nivel2" w:customStyle="1">
    <w:name w:val="Nivel 2"/>
    <w:qFormat/>
    <w:rsid w:val="003629e4"/>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3629e4"/>
    <w:pPr/>
    <w:rPr>
      <w:rFonts w:cs="Arial"/>
      <w:b/>
    </w:rPr>
  </w:style>
  <w:style w:type="paragraph" w:styleId="Nivel3" w:customStyle="1">
    <w:name w:val="Nivel 3"/>
    <w:basedOn w:val="Nivel2"/>
    <w:qFormat/>
    <w:rsid w:val="003629e4"/>
    <w:pPr/>
    <w:rPr>
      <w:rFonts w:cs="Arial"/>
      <w:color w:val="000000"/>
    </w:rPr>
  </w:style>
  <w:style w:type="paragraph" w:styleId="Nivel4" w:customStyle="1">
    <w:name w:val="Nivel 4"/>
    <w:basedOn w:val="Nivel3"/>
    <w:link w:val="Nivel4Char"/>
    <w:qFormat/>
    <w:rsid w:val="003629e4"/>
    <w:pPr/>
    <w:rPr>
      <w:color w:val="auto"/>
    </w:rPr>
  </w:style>
  <w:style w:type="paragraph" w:styleId="Nivel5" w:customStyle="1">
    <w:name w:val="Nivel 5"/>
    <w:basedOn w:val="Nivel4"/>
    <w:qFormat/>
    <w:rsid w:val="003629e4"/>
    <w:pPr>
      <w:ind w:left="3348" w:hanging="1080"/>
    </w:pPr>
    <w:rPr/>
  </w:style>
  <w:style w:type="paragraph" w:styleId="Textbody" w:customStyle="1">
    <w:name w:val="textbody"/>
    <w:basedOn w:val="Normal"/>
    <w:qFormat/>
    <w:rsid w:val="00d87e37"/>
    <w:pPr>
      <w:spacing w:beforeAutospacing="1" w:afterAutospacing="1"/>
    </w:pPr>
    <w:rPr>
      <w:rFonts w:ascii="Times New Roman" w:hAnsi="Times New Roman" w:eastAsia="Times New Roman" w:cs="Times New Roman"/>
    </w:rPr>
  </w:style>
  <w:style w:type="paragraph" w:styleId="N11" w:customStyle="1">
    <w:name w:val="N 1.1"/>
    <w:basedOn w:val="Normal"/>
    <w:qFormat/>
    <w:pPr/>
    <w:rPr/>
  </w:style>
  <w:style w:type="paragraph" w:styleId="Default">
    <w:name w:val="Default"/>
    <w:qFormat/>
    <w:pPr>
      <w:widowControl/>
      <w:suppressAutoHyphens w:val="false"/>
      <w:bidi w:val="0"/>
      <w:spacing w:before="0" w:after="0"/>
      <w:jc w:val="left"/>
    </w:pPr>
    <w:rPr>
      <w:rFonts w:ascii="Calibri" w:hAnsi="Calibri" w:eastAsia="" w:cs="Calibri"/>
      <w:color w:val="000000"/>
      <w:kern w:val="0"/>
      <w:sz w:val="24"/>
      <w:szCs w:val="24"/>
      <w:lang w:val="pt-BR" w:eastAsia="en-US" w:bidi="ar-SA"/>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responsaveis/proibidos-de-contratar/"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mailto:licitacao@saogabriel.es.gov.br" TargetMode="External"/><Relationship Id="rId9" Type="http://schemas.openxmlformats.org/officeDocument/2006/relationships/hyperlink" Target="mailto:licitacao@saogabriel.es.gov.br"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Relationship Id="rId1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4.xml><?xml version="1.0" encoding="utf-8"?>
<ds:datastoreItem xmlns:ds="http://schemas.openxmlformats.org/officeDocument/2006/customXml" ds:itemID="{B523EAA1-74E7-4BF7-94FC-4F9BA3853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1772</TotalTime>
  <Application>LibreOffice/7.5.6.2$Windows_X86_64 LibreOffice_project/f654817fb68d6d4600d7d2f6b647e47729f55f15</Application>
  <AppVersion>15.0000</AppVersion>
  <Pages>18</Pages>
  <Words>7903</Words>
  <Characters>44918</Characters>
  <CharactersWithSpaces>52457</CharactersWithSpaces>
  <Paragraphs>295</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2023-10-10T16:15:47Z</cp:lastPrinted>
  <dcterms:modified xsi:type="dcterms:W3CDTF">2023-10-19T15:54:09Z</dcterms:modified>
  <cp:revision>123</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